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D3EC3A" w14:textId="77777777" w:rsidR="003C27E6" w:rsidRDefault="003C27E6" w:rsidP="00A57D36">
      <w:pPr>
        <w:pStyle w:val="WPnumber"/>
      </w:pPr>
      <w:bookmarkStart w:id="0" w:name="_Toc153189647"/>
      <w:bookmarkStart w:id="1" w:name="_Toc214003082"/>
    </w:p>
    <w:p w14:paraId="4D9C0893" w14:textId="2D19A487" w:rsidR="003F3A41" w:rsidRPr="00500C4E" w:rsidRDefault="00A57D36" w:rsidP="00A57D36">
      <w:pPr>
        <w:pStyle w:val="WPnumber"/>
      </w:pPr>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D43338" w:rsidRPr="00D43338">
            <w:t>PGE3PHVC157</w:t>
          </w:r>
        </w:sdtContent>
      </w:sdt>
    </w:p>
    <w:bookmarkEnd w:id="0"/>
    <w:p w14:paraId="7601CE2F" w14:textId="25F6F6A4" w:rsidR="00DA690B" w:rsidRPr="00500C4E" w:rsidRDefault="007B0373"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D43338" w:rsidRPr="00500C4E">
            <w:rPr>
              <w:rStyle w:val="CaptionChar"/>
              <w:rFonts w:asciiTheme="minorHAnsi" w:hAnsiTheme="minorHAnsi" w:cstheme="minorHAnsi"/>
              <w:b/>
              <w:bCs w:val="0"/>
              <w:sz w:val="48"/>
              <w:szCs w:val="48"/>
            </w:rPr>
            <w:t xml:space="preserve">Revision </w:t>
          </w:r>
          <w:r w:rsidR="00E413BB">
            <w:rPr>
              <w:rStyle w:val="CaptionChar"/>
              <w:rFonts w:asciiTheme="minorHAnsi" w:hAnsiTheme="minorHAnsi" w:cstheme="minorHAnsi"/>
              <w:b/>
              <w:bCs w:val="0"/>
              <w:sz w:val="48"/>
              <w:szCs w:val="48"/>
            </w:rPr>
            <w:t>1</w:t>
          </w:r>
        </w:sdtContent>
      </w:sdt>
    </w:p>
    <w:p w14:paraId="3E4FD8A9" w14:textId="4CB4D611" w:rsidR="00285A0D" w:rsidRPr="00500C4E" w:rsidRDefault="00F30167" w:rsidP="00DE5758">
      <w:pPr>
        <w:jc w:val="right"/>
        <w:rPr>
          <w:rFonts w:cstheme="minorHAnsi"/>
          <w:b/>
          <w:sz w:val="48"/>
          <w:szCs w:val="48"/>
        </w:rPr>
      </w:pPr>
      <w:r>
        <w:rPr>
          <w:rFonts w:cstheme="minorHAnsi"/>
          <w:b/>
          <w:sz w:val="48"/>
          <w:szCs w:val="48"/>
        </w:rPr>
        <w:t>Short Form</w:t>
      </w:r>
    </w:p>
    <w:bookmarkStart w:id="2" w:name="SCE"/>
    <w:p w14:paraId="1837A157" w14:textId="79948BB8" w:rsidR="00DA690B" w:rsidRPr="00500C4E" w:rsidRDefault="007B0373"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2C317CF5" w14:textId="5EADA65A" w:rsidR="00D43338" w:rsidRPr="00500C4E" w:rsidRDefault="00D43338" w:rsidP="00D43338">
      <w:pPr>
        <w:rPr>
          <w:rFonts w:cstheme="minorHAnsi"/>
          <w:b/>
          <w:sz w:val="72"/>
          <w:szCs w:val="72"/>
        </w:rPr>
      </w:pPr>
      <w:bookmarkStart w:id="3" w:name="_Toc153189650"/>
      <w:r>
        <w:rPr>
          <w:rFonts w:cstheme="minorHAnsi"/>
          <w:b/>
          <w:sz w:val="72"/>
          <w:szCs w:val="72"/>
        </w:rPr>
        <w:t>Unoccupied Supply Fan Control</w:t>
      </w:r>
      <w:r w:rsidRPr="00500C4E">
        <w:rPr>
          <w:rFonts w:cstheme="minorHAnsi"/>
          <w:b/>
          <w:sz w:val="72"/>
          <w:szCs w:val="72"/>
        </w:rPr>
        <w:t xml:space="preserve"> </w:t>
      </w:r>
    </w:p>
    <w:bookmarkEnd w:id="3"/>
    <w:p w14:paraId="29CC4055" w14:textId="77777777" w:rsidR="00E76B31" w:rsidRPr="00500C4E" w:rsidRDefault="00E76B31" w:rsidP="00E76B31">
      <w:pPr>
        <w:pStyle w:val="Reminders"/>
        <w:rPr>
          <w:rFonts w:asciiTheme="minorHAnsi" w:hAnsiTheme="minorHAnsi" w:cstheme="minorHAnsi"/>
          <w:i w:val="0"/>
          <w:szCs w:val="22"/>
        </w:rPr>
      </w:pPr>
    </w:p>
    <w:p w14:paraId="60C5441A" w14:textId="0AD285A5" w:rsidR="00F30167" w:rsidRDefault="00F30167">
      <w:pPr>
        <w:spacing w:after="200" w:line="276" w:lineRule="auto"/>
        <w:rPr>
          <w:rFonts w:cstheme="minorHAnsi"/>
          <w:b/>
          <w:color w:val="FF0000"/>
          <w:sz w:val="32"/>
          <w:szCs w:val="22"/>
        </w:rPr>
      </w:pPr>
      <w:r>
        <w:rPr>
          <w:rFonts w:cstheme="minorHAnsi"/>
          <w:b/>
          <w:i/>
          <w:sz w:val="32"/>
          <w:szCs w:val="22"/>
        </w:rPr>
        <w:br w:type="page"/>
      </w:r>
    </w:p>
    <w:p w14:paraId="495DC982" w14:textId="260D6AA2" w:rsidR="00F30167" w:rsidRDefault="00F30167" w:rsidP="00F30167">
      <w:pPr>
        <w:pStyle w:val="Reminders"/>
        <w:rPr>
          <w:rFonts w:asciiTheme="minorHAnsi" w:hAnsiTheme="minorHAnsi" w:cstheme="minorHAnsi"/>
          <w:b/>
          <w:i w:val="0"/>
          <w:color w:val="auto"/>
          <w:sz w:val="28"/>
          <w:szCs w:val="22"/>
        </w:rPr>
      </w:pPr>
      <w:r>
        <w:rPr>
          <w:rFonts w:asciiTheme="minorHAnsi" w:hAnsiTheme="minorHAnsi" w:cstheme="minorHAnsi"/>
          <w:b/>
          <w:i w:val="0"/>
          <w:color w:val="auto"/>
          <w:sz w:val="28"/>
          <w:szCs w:val="22"/>
        </w:rPr>
        <w:lastRenderedPageBreak/>
        <w:t>Introduction</w:t>
      </w:r>
    </w:p>
    <w:p w14:paraId="36DF0D49" w14:textId="654A9D0F" w:rsidR="00F30167" w:rsidRPr="006E2D29" w:rsidRDefault="00F30167" w:rsidP="00F30167">
      <w:pPr>
        <w:pStyle w:val="Reminders"/>
        <w:rPr>
          <w:rFonts w:asciiTheme="minorHAnsi" w:hAnsiTheme="minorHAnsi" w:cstheme="minorHAnsi"/>
          <w:i w:val="0"/>
          <w:color w:val="auto"/>
          <w:sz w:val="24"/>
          <w:szCs w:val="22"/>
        </w:rPr>
      </w:pPr>
      <w:r w:rsidRPr="006E2D29">
        <w:rPr>
          <w:rFonts w:asciiTheme="minorHAnsi" w:hAnsiTheme="minorHAnsi" w:cstheme="minorHAnsi"/>
          <w:i w:val="0"/>
          <w:color w:val="auto"/>
          <w:sz w:val="24"/>
          <w:szCs w:val="22"/>
        </w:rPr>
        <w:t>This short form workpaper documents (WP) the values adopted from PGE’s WP entitled “</w:t>
      </w:r>
      <w:r w:rsidR="00C23445" w:rsidRPr="006E2D29">
        <w:rPr>
          <w:rFonts w:asciiTheme="minorHAnsi" w:hAnsiTheme="minorHAnsi" w:cstheme="minorHAnsi"/>
          <w:i w:val="0"/>
          <w:color w:val="auto"/>
          <w:sz w:val="24"/>
          <w:szCs w:val="22"/>
        </w:rPr>
        <w:t>Unoccupied Supply Fan Control</w:t>
      </w:r>
      <w:r w:rsidRPr="006E2D29">
        <w:rPr>
          <w:rFonts w:asciiTheme="minorHAnsi" w:hAnsiTheme="minorHAnsi" w:cstheme="minorHAnsi"/>
          <w:i w:val="0"/>
          <w:color w:val="auto"/>
          <w:sz w:val="24"/>
          <w:szCs w:val="22"/>
        </w:rPr>
        <w:t>” (</w:t>
      </w:r>
      <w:r w:rsidR="00C23445" w:rsidRPr="006E2D29">
        <w:rPr>
          <w:rFonts w:asciiTheme="minorHAnsi" w:hAnsiTheme="minorHAnsi" w:cstheme="minorHAnsi"/>
          <w:i w:val="0"/>
          <w:color w:val="auto"/>
          <w:sz w:val="24"/>
          <w:szCs w:val="22"/>
        </w:rPr>
        <w:t>PGE3PHVC157</w:t>
      </w:r>
      <w:r w:rsidR="00B77D15" w:rsidRPr="006E2D29">
        <w:rPr>
          <w:rFonts w:asciiTheme="minorHAnsi" w:hAnsiTheme="minorHAnsi" w:cstheme="minorHAnsi"/>
          <w:i w:val="0"/>
          <w:color w:val="auto"/>
          <w:sz w:val="24"/>
          <w:szCs w:val="22"/>
        </w:rPr>
        <w:t xml:space="preserve"> R3</w:t>
      </w:r>
      <w:r w:rsidRPr="006E2D29">
        <w:rPr>
          <w:rFonts w:asciiTheme="minorHAnsi" w:hAnsiTheme="minorHAnsi" w:cstheme="minorHAnsi"/>
          <w:i w:val="0"/>
          <w:color w:val="auto"/>
          <w:sz w:val="24"/>
          <w:szCs w:val="22"/>
        </w:rPr>
        <w:t xml:space="preserve">). SCE adopts all the values in </w:t>
      </w:r>
      <w:r w:rsidR="00C23445" w:rsidRPr="006E2D29">
        <w:rPr>
          <w:rFonts w:asciiTheme="minorHAnsi" w:hAnsiTheme="minorHAnsi" w:cstheme="minorHAnsi"/>
          <w:i w:val="0"/>
          <w:color w:val="auto"/>
          <w:sz w:val="24"/>
          <w:szCs w:val="22"/>
        </w:rPr>
        <w:t>PGE3PHVC157</w:t>
      </w:r>
      <w:r w:rsidR="00B77D15" w:rsidRPr="006E2D29">
        <w:rPr>
          <w:rFonts w:asciiTheme="minorHAnsi" w:hAnsiTheme="minorHAnsi" w:cstheme="minorHAnsi"/>
          <w:i w:val="0"/>
          <w:color w:val="auto"/>
          <w:sz w:val="24"/>
          <w:szCs w:val="22"/>
        </w:rPr>
        <w:t xml:space="preserve"> R3</w:t>
      </w:r>
      <w:r w:rsidRPr="006E2D29">
        <w:rPr>
          <w:rFonts w:asciiTheme="minorHAnsi" w:hAnsiTheme="minorHAnsi" w:cstheme="minorHAnsi"/>
          <w:i w:val="0"/>
          <w:color w:val="auto"/>
          <w:sz w:val="24"/>
          <w:szCs w:val="22"/>
        </w:rPr>
        <w:t xml:space="preserve"> – “</w:t>
      </w:r>
      <w:r w:rsidR="00C23445" w:rsidRPr="006E2D29">
        <w:rPr>
          <w:rFonts w:asciiTheme="minorHAnsi" w:hAnsiTheme="minorHAnsi" w:cstheme="minorHAnsi"/>
          <w:i w:val="0"/>
          <w:color w:val="auto"/>
          <w:sz w:val="24"/>
          <w:szCs w:val="22"/>
        </w:rPr>
        <w:t>Unoccupied Supply Fan Control</w:t>
      </w:r>
      <w:r w:rsidRPr="006E2D29">
        <w:rPr>
          <w:rFonts w:asciiTheme="minorHAnsi" w:hAnsiTheme="minorHAnsi" w:cstheme="minorHAnsi"/>
          <w:i w:val="0"/>
          <w:color w:val="auto"/>
          <w:sz w:val="24"/>
          <w:szCs w:val="22"/>
        </w:rPr>
        <w:t xml:space="preserve">”, with the following exceptions. </w:t>
      </w:r>
    </w:p>
    <w:p w14:paraId="78940EFD" w14:textId="77777777" w:rsidR="00F30167" w:rsidRPr="006E2D29" w:rsidRDefault="00F30167" w:rsidP="00F30167">
      <w:pPr>
        <w:pStyle w:val="Reminders"/>
        <w:rPr>
          <w:rFonts w:asciiTheme="minorHAnsi" w:hAnsiTheme="minorHAnsi" w:cstheme="minorHAnsi"/>
          <w:i w:val="0"/>
          <w:color w:val="auto"/>
          <w:sz w:val="24"/>
          <w:szCs w:val="22"/>
        </w:rPr>
      </w:pPr>
    </w:p>
    <w:p w14:paraId="26501EE7" w14:textId="77777777" w:rsidR="00242856" w:rsidRPr="00DF4113" w:rsidRDefault="00242856" w:rsidP="00242856">
      <w:pPr>
        <w:pStyle w:val="Reminders"/>
        <w:numPr>
          <w:ilvl w:val="0"/>
          <w:numId w:val="36"/>
        </w:numPr>
        <w:rPr>
          <w:rFonts w:asciiTheme="minorHAnsi" w:hAnsiTheme="minorHAnsi" w:cstheme="minorHAnsi"/>
          <w:i w:val="0"/>
          <w:color w:val="auto"/>
          <w:sz w:val="24"/>
        </w:rPr>
      </w:pPr>
      <w:bookmarkStart w:id="4" w:name="_Hlk532888289"/>
      <w:r w:rsidRPr="00DF4113">
        <w:rPr>
          <w:rFonts w:asciiTheme="minorHAnsi" w:hAnsiTheme="minorHAnsi" w:cstheme="minorHAnsi"/>
          <w:i w:val="0"/>
          <w:color w:val="auto"/>
          <w:sz w:val="24"/>
        </w:rPr>
        <w:t>Changed applicable climate zones to only SCE climate zones.</w:t>
      </w:r>
    </w:p>
    <w:p w14:paraId="0C03143B" w14:textId="77777777" w:rsidR="00F553C0" w:rsidRDefault="00F553C0" w:rsidP="00F553C0">
      <w:pPr>
        <w:pStyle w:val="Reminders"/>
        <w:numPr>
          <w:ilvl w:val="0"/>
          <w:numId w:val="36"/>
        </w:numPr>
        <w:rPr>
          <w:rFonts w:asciiTheme="minorHAnsi" w:hAnsiTheme="minorHAnsi" w:cstheme="minorHAnsi"/>
          <w:i w:val="0"/>
          <w:color w:val="auto"/>
          <w:sz w:val="24"/>
        </w:rPr>
      </w:pPr>
      <w:r w:rsidRPr="00F16068">
        <w:rPr>
          <w:rFonts w:asciiTheme="minorHAnsi" w:hAnsiTheme="minorHAnsi" w:cstheme="minorHAnsi"/>
          <w:i w:val="0"/>
          <w:color w:val="auto"/>
          <w:sz w:val="24"/>
        </w:rPr>
        <w:t>Added Up-Stream Program</w:t>
      </w:r>
      <w:r>
        <w:rPr>
          <w:rFonts w:asciiTheme="minorHAnsi" w:hAnsiTheme="minorHAnsi" w:cstheme="minorHAnsi"/>
          <w:i w:val="0"/>
          <w:color w:val="auto"/>
          <w:sz w:val="24"/>
        </w:rPr>
        <w:t>s: Up-Stream delivery mechanism and Financial Support: Down-Stream Incentive - Deemed</w:t>
      </w:r>
    </w:p>
    <w:p w14:paraId="228D3F42" w14:textId="77777777" w:rsidR="00242856" w:rsidRPr="00DF4113" w:rsidRDefault="00242856" w:rsidP="00242856">
      <w:pPr>
        <w:pStyle w:val="Reminders"/>
        <w:numPr>
          <w:ilvl w:val="0"/>
          <w:numId w:val="36"/>
        </w:numPr>
        <w:rPr>
          <w:rFonts w:asciiTheme="minorHAnsi" w:hAnsiTheme="minorHAnsi" w:cstheme="minorHAnsi"/>
          <w:i w:val="0"/>
          <w:color w:val="auto"/>
          <w:sz w:val="24"/>
        </w:rPr>
      </w:pPr>
      <w:r w:rsidRPr="00DF4113">
        <w:rPr>
          <w:rFonts w:asciiTheme="minorHAnsi" w:hAnsiTheme="minorHAnsi" w:cstheme="minorHAnsi"/>
          <w:i w:val="0"/>
          <w:color w:val="auto"/>
          <w:sz w:val="24"/>
        </w:rPr>
        <w:t>Corrected load shapes for Heat Pump measures from AC-unit load shape to Heat Pump load shape in calculation template.</w:t>
      </w:r>
    </w:p>
    <w:p w14:paraId="5D3EB233" w14:textId="7A78462D" w:rsidR="00CE66DB" w:rsidRPr="00DF4113" w:rsidRDefault="00CE66DB">
      <w:pPr>
        <w:pStyle w:val="Reminders"/>
        <w:numPr>
          <w:ilvl w:val="0"/>
          <w:numId w:val="36"/>
        </w:numPr>
        <w:rPr>
          <w:rFonts w:asciiTheme="minorHAnsi" w:hAnsiTheme="minorHAnsi" w:cstheme="minorHAnsi"/>
          <w:i w:val="0"/>
          <w:color w:val="auto"/>
          <w:sz w:val="24"/>
        </w:rPr>
      </w:pPr>
      <w:r w:rsidRPr="00DF4113">
        <w:rPr>
          <w:rFonts w:asciiTheme="minorHAnsi" w:hAnsiTheme="minorHAnsi" w:cstheme="minorHAnsi"/>
          <w:i w:val="0"/>
          <w:color w:val="auto"/>
          <w:sz w:val="24"/>
        </w:rPr>
        <w:t xml:space="preserve">The following building had no savings calculated </w:t>
      </w:r>
      <w:r w:rsidR="000E014C" w:rsidRPr="00DF4113">
        <w:rPr>
          <w:rFonts w:asciiTheme="minorHAnsi" w:hAnsiTheme="minorHAnsi" w:cstheme="minorHAnsi"/>
          <w:i w:val="0"/>
          <w:color w:val="auto"/>
          <w:sz w:val="24"/>
        </w:rPr>
        <w:t xml:space="preserve">in the PGE workpaper </w:t>
      </w:r>
      <w:r w:rsidRPr="00DF4113">
        <w:rPr>
          <w:rFonts w:asciiTheme="minorHAnsi" w:hAnsiTheme="minorHAnsi" w:cstheme="minorHAnsi"/>
          <w:i w:val="0"/>
          <w:color w:val="auto"/>
          <w:sz w:val="24"/>
        </w:rPr>
        <w:t>and were removed</w:t>
      </w:r>
      <w:r w:rsidR="000E014C" w:rsidRPr="00DF4113">
        <w:rPr>
          <w:rFonts w:asciiTheme="minorHAnsi" w:hAnsiTheme="minorHAnsi" w:cstheme="minorHAnsi"/>
          <w:i w:val="0"/>
          <w:color w:val="auto"/>
          <w:sz w:val="24"/>
        </w:rPr>
        <w:t xml:space="preserve"> in this adoption</w:t>
      </w:r>
      <w:r w:rsidRPr="00DF4113">
        <w:rPr>
          <w:rFonts w:asciiTheme="minorHAnsi" w:hAnsiTheme="minorHAnsi" w:cstheme="minorHAnsi"/>
          <w:i w:val="0"/>
          <w:color w:val="auto"/>
          <w:sz w:val="24"/>
        </w:rPr>
        <w:t>:</w:t>
      </w:r>
    </w:p>
    <w:p w14:paraId="56511678" w14:textId="77777777" w:rsidR="00CE66DB" w:rsidRPr="00DF4113" w:rsidRDefault="00CE66DB" w:rsidP="00CE66DB">
      <w:pPr>
        <w:pStyle w:val="Reminders"/>
        <w:numPr>
          <w:ilvl w:val="1"/>
          <w:numId w:val="36"/>
        </w:numPr>
        <w:rPr>
          <w:rFonts w:asciiTheme="minorHAnsi" w:hAnsiTheme="minorHAnsi" w:cstheme="minorHAnsi"/>
          <w:i w:val="0"/>
          <w:color w:val="auto"/>
          <w:sz w:val="24"/>
        </w:rPr>
      </w:pPr>
      <w:r w:rsidRPr="00DF4113">
        <w:rPr>
          <w:rFonts w:asciiTheme="minorHAnsi" w:hAnsiTheme="minorHAnsi" w:cstheme="minorHAnsi"/>
          <w:i w:val="0"/>
          <w:color w:val="auto"/>
          <w:sz w:val="24"/>
        </w:rPr>
        <w:t>Health/Medical - Hospital (</w:t>
      </w:r>
      <w:proofErr w:type="spellStart"/>
      <w:r w:rsidRPr="00DF4113">
        <w:rPr>
          <w:rFonts w:asciiTheme="minorHAnsi" w:hAnsiTheme="minorHAnsi" w:cstheme="minorHAnsi"/>
          <w:i w:val="0"/>
          <w:color w:val="auto"/>
          <w:sz w:val="24"/>
        </w:rPr>
        <w:t>Hsp</w:t>
      </w:r>
      <w:proofErr w:type="spellEnd"/>
      <w:r w:rsidRPr="00DF4113">
        <w:rPr>
          <w:rFonts w:asciiTheme="minorHAnsi" w:hAnsiTheme="minorHAnsi" w:cstheme="minorHAnsi"/>
          <w:i w:val="0"/>
          <w:color w:val="auto"/>
          <w:sz w:val="24"/>
        </w:rPr>
        <w:t>)</w:t>
      </w:r>
    </w:p>
    <w:p w14:paraId="016AAA9C" w14:textId="6BAA70AD" w:rsidR="00CE66DB" w:rsidRPr="00DF4113" w:rsidRDefault="00CE66DB" w:rsidP="006E2D29">
      <w:pPr>
        <w:pStyle w:val="Reminders"/>
        <w:numPr>
          <w:ilvl w:val="1"/>
          <w:numId w:val="36"/>
        </w:numPr>
        <w:rPr>
          <w:rFonts w:asciiTheme="minorHAnsi" w:hAnsiTheme="minorHAnsi" w:cstheme="minorHAnsi"/>
          <w:i w:val="0"/>
          <w:color w:val="auto"/>
          <w:sz w:val="24"/>
        </w:rPr>
      </w:pPr>
      <w:r w:rsidRPr="00DF4113">
        <w:rPr>
          <w:rFonts w:asciiTheme="minorHAnsi" w:hAnsiTheme="minorHAnsi" w:cstheme="minorHAnsi"/>
          <w:i w:val="0"/>
          <w:color w:val="auto"/>
          <w:sz w:val="24"/>
        </w:rPr>
        <w:t>Health/Medical - Nursing Home (</w:t>
      </w:r>
      <w:proofErr w:type="spellStart"/>
      <w:r w:rsidRPr="00DF4113">
        <w:rPr>
          <w:rFonts w:asciiTheme="minorHAnsi" w:hAnsiTheme="minorHAnsi" w:cstheme="minorHAnsi"/>
          <w:i w:val="0"/>
          <w:color w:val="auto"/>
          <w:sz w:val="24"/>
        </w:rPr>
        <w:t>Nrs</w:t>
      </w:r>
      <w:proofErr w:type="spellEnd"/>
      <w:r w:rsidRPr="00DF4113">
        <w:rPr>
          <w:rFonts w:asciiTheme="minorHAnsi" w:hAnsiTheme="minorHAnsi" w:cstheme="minorHAnsi"/>
          <w:i w:val="0"/>
          <w:color w:val="auto"/>
          <w:sz w:val="24"/>
        </w:rPr>
        <w:t>)</w:t>
      </w:r>
    </w:p>
    <w:p w14:paraId="04B18274" w14:textId="3778B473" w:rsidR="00CE66DB" w:rsidRPr="00DF4113" w:rsidRDefault="00CE66DB" w:rsidP="006E2D29">
      <w:pPr>
        <w:pStyle w:val="Reminders"/>
        <w:numPr>
          <w:ilvl w:val="1"/>
          <w:numId w:val="36"/>
        </w:numPr>
        <w:rPr>
          <w:rFonts w:asciiTheme="minorHAnsi" w:hAnsiTheme="minorHAnsi" w:cstheme="minorHAnsi"/>
          <w:i w:val="0"/>
          <w:color w:val="auto"/>
          <w:sz w:val="24"/>
        </w:rPr>
      </w:pPr>
      <w:r w:rsidRPr="00DF4113">
        <w:rPr>
          <w:rFonts w:asciiTheme="minorHAnsi" w:hAnsiTheme="minorHAnsi" w:cstheme="minorHAnsi"/>
          <w:i w:val="0"/>
          <w:color w:val="auto"/>
          <w:sz w:val="24"/>
        </w:rPr>
        <w:t>Lodging - Motel (</w:t>
      </w:r>
      <w:proofErr w:type="spellStart"/>
      <w:r w:rsidRPr="00DF4113">
        <w:rPr>
          <w:rFonts w:asciiTheme="minorHAnsi" w:hAnsiTheme="minorHAnsi" w:cstheme="minorHAnsi"/>
          <w:i w:val="0"/>
          <w:color w:val="auto"/>
          <w:sz w:val="24"/>
        </w:rPr>
        <w:t>Mtl</w:t>
      </w:r>
      <w:proofErr w:type="spellEnd"/>
      <w:r w:rsidRPr="00DF4113">
        <w:rPr>
          <w:rFonts w:asciiTheme="minorHAnsi" w:hAnsiTheme="minorHAnsi" w:cstheme="minorHAnsi"/>
          <w:i w:val="0"/>
          <w:color w:val="auto"/>
          <w:sz w:val="24"/>
        </w:rPr>
        <w:t>)</w:t>
      </w:r>
    </w:p>
    <w:p w14:paraId="3112ADC0" w14:textId="77777777" w:rsidR="00DF4113" w:rsidRPr="00DF4113" w:rsidRDefault="00DF4113" w:rsidP="00DF4113">
      <w:pPr>
        <w:pStyle w:val="Reminders"/>
        <w:numPr>
          <w:ilvl w:val="0"/>
          <w:numId w:val="36"/>
        </w:numPr>
        <w:rPr>
          <w:rFonts w:asciiTheme="minorHAnsi" w:hAnsiTheme="minorHAnsi" w:cstheme="minorHAnsi"/>
          <w:i w:val="0"/>
          <w:color w:val="auto"/>
          <w:sz w:val="24"/>
        </w:rPr>
      </w:pPr>
      <w:bookmarkStart w:id="5" w:name="_Hlk533666310"/>
      <w:r w:rsidRPr="00DF4113">
        <w:rPr>
          <w:rFonts w:asciiTheme="minorHAnsi" w:hAnsiTheme="minorHAnsi" w:cstheme="minorHAnsi"/>
          <w:i w:val="0"/>
          <w:color w:val="auto"/>
          <w:sz w:val="24"/>
        </w:rPr>
        <w:t>Added clarification on SCE’s incentive method description and applicability.</w:t>
      </w:r>
    </w:p>
    <w:p w14:paraId="5E4C2577" w14:textId="736D26A8" w:rsidR="00DF4113" w:rsidRDefault="00DF4113" w:rsidP="00DF4113">
      <w:pPr>
        <w:pStyle w:val="Reminders"/>
        <w:numPr>
          <w:ilvl w:val="0"/>
          <w:numId w:val="36"/>
        </w:numPr>
        <w:rPr>
          <w:rFonts w:asciiTheme="minorHAnsi" w:hAnsiTheme="minorHAnsi" w:cstheme="minorHAnsi"/>
          <w:i w:val="0"/>
          <w:color w:val="auto"/>
          <w:sz w:val="24"/>
        </w:rPr>
      </w:pPr>
      <w:r w:rsidRPr="00DF4113">
        <w:rPr>
          <w:rFonts w:asciiTheme="minorHAnsi" w:hAnsiTheme="minorHAnsi" w:cstheme="minorHAnsi"/>
          <w:i w:val="0"/>
          <w:color w:val="auto"/>
          <w:sz w:val="24"/>
        </w:rPr>
        <w:t>For the 2018 program year, the measure application type remains as “REA.”</w:t>
      </w:r>
    </w:p>
    <w:p w14:paraId="62DE1AF4" w14:textId="11526026" w:rsidR="00DF4113" w:rsidRPr="00DF4113" w:rsidRDefault="00DF4113" w:rsidP="00DF4113">
      <w:pPr>
        <w:pStyle w:val="Reminders"/>
        <w:numPr>
          <w:ilvl w:val="0"/>
          <w:numId w:val="36"/>
        </w:numPr>
        <w:rPr>
          <w:rFonts w:asciiTheme="minorHAnsi" w:hAnsiTheme="minorHAnsi" w:cstheme="minorHAnsi"/>
          <w:i w:val="0"/>
          <w:color w:val="auto"/>
          <w:sz w:val="24"/>
        </w:rPr>
      </w:pPr>
      <w:r w:rsidRPr="00DF4113">
        <w:rPr>
          <w:rFonts w:asciiTheme="minorHAnsi" w:hAnsiTheme="minorHAnsi" w:cstheme="minorHAnsi"/>
          <w:i w:val="0"/>
          <w:color w:val="auto"/>
          <w:sz w:val="24"/>
        </w:rPr>
        <w:t>Workpaper Revision 1 is applicable for the 2018 program cycle</w:t>
      </w:r>
      <w:r w:rsidR="00373F36">
        <w:rPr>
          <w:rFonts w:asciiTheme="minorHAnsi" w:hAnsiTheme="minorHAnsi" w:cstheme="minorHAnsi"/>
          <w:i w:val="0"/>
          <w:color w:val="auto"/>
          <w:sz w:val="24"/>
        </w:rPr>
        <w:t>.</w:t>
      </w:r>
    </w:p>
    <w:bookmarkEnd w:id="5"/>
    <w:p w14:paraId="2CAF6370" w14:textId="77777777" w:rsidR="00DF4113" w:rsidRPr="006E2D29" w:rsidRDefault="00DF4113" w:rsidP="00DF4113">
      <w:pPr>
        <w:pStyle w:val="Reminders"/>
        <w:ind w:left="720"/>
        <w:rPr>
          <w:rFonts w:asciiTheme="minorHAnsi" w:hAnsiTheme="minorHAnsi" w:cstheme="minorHAnsi"/>
          <w:i w:val="0"/>
          <w:color w:val="auto"/>
          <w:sz w:val="24"/>
          <w:szCs w:val="22"/>
        </w:rPr>
      </w:pPr>
    </w:p>
    <w:bookmarkEnd w:id="4"/>
    <w:p w14:paraId="25B60788" w14:textId="0C9A34DB" w:rsidR="0088361D" w:rsidRDefault="00F30167" w:rsidP="00C959CA">
      <w:pPr>
        <w:pStyle w:val="Heading1"/>
      </w:pPr>
      <w:r>
        <w:t xml:space="preserve">Document </w:t>
      </w:r>
      <w:r w:rsidR="00EB34FC" w:rsidRPr="00500C4E">
        <w:t>Revision History</w:t>
      </w:r>
    </w:p>
    <w:tbl>
      <w:tblPr>
        <w:tblStyle w:val="TableGrid1"/>
        <w:tblW w:w="5000" w:type="pct"/>
        <w:tblLook w:val="01E0" w:firstRow="1" w:lastRow="1" w:firstColumn="1" w:lastColumn="1" w:noHBand="0" w:noVBand="0"/>
      </w:tblPr>
      <w:tblGrid>
        <w:gridCol w:w="524"/>
        <w:gridCol w:w="1182"/>
        <w:gridCol w:w="1243"/>
        <w:gridCol w:w="6401"/>
      </w:tblGrid>
      <w:tr w:rsidR="007F3C2D" w:rsidRPr="00500C4E" w14:paraId="59D96432" w14:textId="77777777" w:rsidTr="00F17582">
        <w:trPr>
          <w:trHeight w:val="20"/>
        </w:trPr>
        <w:tc>
          <w:tcPr>
            <w:tcW w:w="280" w:type="pct"/>
            <w:shd w:val="clear" w:color="auto" w:fill="D9D9D9" w:themeFill="background1" w:themeFillShade="D9"/>
          </w:tcPr>
          <w:p w14:paraId="0934E374" w14:textId="77777777" w:rsidR="007F3C2D" w:rsidRPr="00500C4E" w:rsidRDefault="007F3C2D" w:rsidP="00F17582">
            <w:pPr>
              <w:rPr>
                <w:rFonts w:cstheme="minorHAnsi"/>
                <w:b/>
                <w:bCs/>
                <w:szCs w:val="20"/>
              </w:rPr>
            </w:pPr>
            <w:r>
              <w:rPr>
                <w:rFonts w:cstheme="minorHAnsi"/>
                <w:b/>
                <w:szCs w:val="20"/>
              </w:rPr>
              <w:t>Rev</w:t>
            </w:r>
          </w:p>
        </w:tc>
        <w:tc>
          <w:tcPr>
            <w:tcW w:w="632" w:type="pct"/>
            <w:shd w:val="clear" w:color="auto" w:fill="D9D9D9" w:themeFill="background1" w:themeFillShade="D9"/>
          </w:tcPr>
          <w:p w14:paraId="4D068A38" w14:textId="77777777" w:rsidR="007F3C2D" w:rsidRPr="00500C4E" w:rsidRDefault="007F3C2D" w:rsidP="00F17582">
            <w:pPr>
              <w:rPr>
                <w:rFonts w:cstheme="minorHAnsi"/>
                <w:b/>
                <w:bCs/>
                <w:szCs w:val="20"/>
              </w:rPr>
            </w:pPr>
            <w:r w:rsidRPr="00920905">
              <w:rPr>
                <w:rFonts w:cstheme="minorHAnsi"/>
                <w:b/>
                <w:szCs w:val="20"/>
              </w:rPr>
              <w:t>Date</w:t>
            </w:r>
          </w:p>
        </w:tc>
        <w:tc>
          <w:tcPr>
            <w:tcW w:w="665" w:type="pct"/>
            <w:shd w:val="clear" w:color="auto" w:fill="D9D9D9" w:themeFill="background1" w:themeFillShade="D9"/>
          </w:tcPr>
          <w:p w14:paraId="0EF15F36" w14:textId="77777777" w:rsidR="007F3C2D" w:rsidRPr="00500C4E" w:rsidRDefault="007F3C2D" w:rsidP="00F17582">
            <w:pPr>
              <w:rPr>
                <w:rFonts w:cstheme="minorHAnsi"/>
                <w:b/>
                <w:bCs/>
                <w:szCs w:val="20"/>
              </w:rPr>
            </w:pPr>
            <w:r>
              <w:rPr>
                <w:rFonts w:cstheme="minorHAnsi"/>
                <w:b/>
                <w:szCs w:val="20"/>
              </w:rPr>
              <w:t>Author</w:t>
            </w:r>
          </w:p>
        </w:tc>
        <w:tc>
          <w:tcPr>
            <w:tcW w:w="3423" w:type="pct"/>
            <w:shd w:val="clear" w:color="auto" w:fill="D9D9D9" w:themeFill="background1" w:themeFillShade="D9"/>
          </w:tcPr>
          <w:p w14:paraId="5CDE5E6D" w14:textId="77777777" w:rsidR="007F3C2D" w:rsidRPr="00500C4E" w:rsidRDefault="007F3C2D" w:rsidP="00F17582">
            <w:pPr>
              <w:rPr>
                <w:rFonts w:cstheme="minorHAnsi"/>
                <w:b/>
                <w:bCs/>
                <w:szCs w:val="20"/>
              </w:rPr>
            </w:pPr>
            <w:r w:rsidRPr="00920905">
              <w:rPr>
                <w:rFonts w:cstheme="minorHAnsi"/>
                <w:b/>
                <w:szCs w:val="20"/>
              </w:rPr>
              <w:t>Summary of Changes</w:t>
            </w:r>
          </w:p>
        </w:tc>
      </w:tr>
      <w:tr w:rsidR="007F3C2D" w:rsidRPr="00500C4E" w14:paraId="41833FED" w14:textId="77777777" w:rsidTr="00F17582">
        <w:trPr>
          <w:trHeight w:val="20"/>
        </w:trPr>
        <w:tc>
          <w:tcPr>
            <w:tcW w:w="280" w:type="pct"/>
          </w:tcPr>
          <w:p w14:paraId="03E5C1E3" w14:textId="77777777" w:rsidR="007F3C2D" w:rsidRPr="00500C4E" w:rsidRDefault="007F3C2D" w:rsidP="007F3C2D">
            <w:pPr>
              <w:rPr>
                <w:rFonts w:cstheme="minorHAnsi"/>
                <w:szCs w:val="20"/>
              </w:rPr>
            </w:pPr>
            <w:r>
              <w:rPr>
                <w:rFonts w:cstheme="minorHAnsi"/>
                <w:szCs w:val="20"/>
              </w:rPr>
              <w:t>1</w:t>
            </w:r>
          </w:p>
        </w:tc>
        <w:tc>
          <w:tcPr>
            <w:tcW w:w="632" w:type="pct"/>
          </w:tcPr>
          <w:p w14:paraId="204BCE46" w14:textId="7599B8A8" w:rsidR="007F3C2D" w:rsidRPr="00500C4E" w:rsidRDefault="007F3C2D" w:rsidP="007F3C2D">
            <w:pPr>
              <w:rPr>
                <w:rFonts w:cstheme="minorHAnsi"/>
                <w:szCs w:val="20"/>
              </w:rPr>
            </w:pPr>
            <w:r>
              <w:rPr>
                <w:rFonts w:cstheme="minorHAnsi"/>
                <w:szCs w:val="20"/>
              </w:rPr>
              <w:t>12/2</w:t>
            </w:r>
            <w:r w:rsidR="00DF4113">
              <w:rPr>
                <w:rFonts w:cstheme="minorHAnsi"/>
                <w:szCs w:val="20"/>
              </w:rPr>
              <w:t>7</w:t>
            </w:r>
            <w:r>
              <w:rPr>
                <w:rFonts w:cstheme="minorHAnsi"/>
                <w:szCs w:val="20"/>
              </w:rPr>
              <w:t>/2018</w:t>
            </w:r>
          </w:p>
        </w:tc>
        <w:tc>
          <w:tcPr>
            <w:tcW w:w="665" w:type="pct"/>
          </w:tcPr>
          <w:p w14:paraId="17351EBC" w14:textId="1D562A60" w:rsidR="007F3C2D" w:rsidRPr="00500C4E" w:rsidRDefault="007F3C2D" w:rsidP="007F3C2D">
            <w:pPr>
              <w:rPr>
                <w:rFonts w:cstheme="minorHAnsi"/>
                <w:szCs w:val="20"/>
              </w:rPr>
            </w:pPr>
            <w:r w:rsidRPr="00491734">
              <w:rPr>
                <w:rFonts w:cstheme="minorHAnsi"/>
                <w:szCs w:val="20"/>
              </w:rPr>
              <w:t>Sergio Corona/TRC</w:t>
            </w:r>
          </w:p>
        </w:tc>
        <w:tc>
          <w:tcPr>
            <w:tcW w:w="3423" w:type="pct"/>
          </w:tcPr>
          <w:p w14:paraId="6BE8DAD3" w14:textId="77777777" w:rsidR="007F3C2D" w:rsidRDefault="007F3C2D" w:rsidP="007F3C2D">
            <w:pPr>
              <w:pStyle w:val="ListParagraph"/>
              <w:numPr>
                <w:ilvl w:val="0"/>
                <w:numId w:val="35"/>
              </w:numPr>
              <w:rPr>
                <w:rFonts w:cstheme="minorHAnsi"/>
                <w:bCs/>
                <w:szCs w:val="20"/>
              </w:rPr>
            </w:pPr>
            <w:r>
              <w:rPr>
                <w:rFonts w:cstheme="minorHAnsi"/>
                <w:bCs/>
                <w:szCs w:val="20"/>
              </w:rPr>
              <w:t xml:space="preserve">Transferred savings to calculation templates the 2018 program year. </w:t>
            </w:r>
          </w:p>
          <w:p w14:paraId="5F1FCA42" w14:textId="77777777" w:rsidR="007F3C2D" w:rsidRDefault="007F3C2D" w:rsidP="007F3C2D">
            <w:pPr>
              <w:pStyle w:val="ListParagraph"/>
              <w:numPr>
                <w:ilvl w:val="0"/>
                <w:numId w:val="35"/>
              </w:numPr>
              <w:rPr>
                <w:rFonts w:cstheme="minorHAnsi"/>
                <w:bCs/>
                <w:szCs w:val="20"/>
              </w:rPr>
            </w:pPr>
            <w:r>
              <w:rPr>
                <w:rFonts w:cstheme="minorHAnsi"/>
                <w:bCs/>
                <w:szCs w:val="20"/>
              </w:rPr>
              <w:t>Changed applicable climate zones to only SCE climate zones.</w:t>
            </w:r>
          </w:p>
          <w:p w14:paraId="43602151" w14:textId="77777777" w:rsidR="00F553C0" w:rsidRPr="00E303D9" w:rsidRDefault="00F553C0" w:rsidP="00F553C0">
            <w:pPr>
              <w:pStyle w:val="ListParagraph"/>
              <w:numPr>
                <w:ilvl w:val="0"/>
                <w:numId w:val="35"/>
              </w:numPr>
              <w:rPr>
                <w:rFonts w:cstheme="minorHAnsi"/>
                <w:bCs/>
                <w:szCs w:val="20"/>
              </w:rPr>
            </w:pPr>
            <w:r>
              <w:rPr>
                <w:rFonts w:cstheme="minorHAnsi"/>
                <w:bCs/>
                <w:szCs w:val="20"/>
              </w:rPr>
              <w:t xml:space="preserve">Added Up-Stream Programs: Up-Stream &amp; </w:t>
            </w:r>
            <w:r w:rsidRPr="00A63BB1">
              <w:rPr>
                <w:rFonts w:cstheme="minorHAnsi"/>
                <w:bCs/>
                <w:szCs w:val="20"/>
              </w:rPr>
              <w:t>Financial Support: Down-Stream Incentive - Deemed</w:t>
            </w:r>
            <w:r>
              <w:rPr>
                <w:rFonts w:cstheme="minorHAnsi"/>
                <w:bCs/>
                <w:szCs w:val="20"/>
              </w:rPr>
              <w:t xml:space="preserve"> delivery mechanism</w:t>
            </w:r>
          </w:p>
          <w:p w14:paraId="6CD307B3" w14:textId="0CD34EE7" w:rsidR="007F3C2D" w:rsidRPr="006E2D29" w:rsidRDefault="007F3C2D">
            <w:pPr>
              <w:pStyle w:val="ListParagraph"/>
              <w:numPr>
                <w:ilvl w:val="0"/>
                <w:numId w:val="35"/>
              </w:numPr>
              <w:rPr>
                <w:rFonts w:cstheme="minorHAnsi"/>
                <w:bCs/>
                <w:szCs w:val="20"/>
              </w:rPr>
            </w:pPr>
            <w:r>
              <w:rPr>
                <w:rFonts w:cstheme="minorHAnsi"/>
                <w:bCs/>
                <w:szCs w:val="20"/>
              </w:rPr>
              <w:t>Corrected load shapes for Heat Pump measures in calculation template.</w:t>
            </w:r>
          </w:p>
          <w:p w14:paraId="3F42B84F" w14:textId="77777777" w:rsidR="007F3C2D" w:rsidRDefault="007F3C2D">
            <w:pPr>
              <w:pStyle w:val="ListParagraph"/>
              <w:numPr>
                <w:ilvl w:val="0"/>
                <w:numId w:val="35"/>
              </w:numPr>
              <w:rPr>
                <w:rFonts w:cstheme="minorHAnsi"/>
                <w:bCs/>
                <w:szCs w:val="20"/>
              </w:rPr>
            </w:pPr>
            <w:r>
              <w:rPr>
                <w:rFonts w:cstheme="minorHAnsi"/>
                <w:bCs/>
                <w:szCs w:val="20"/>
              </w:rPr>
              <w:t>Removed Hospital, Nursing Home, and Motel building types.</w:t>
            </w:r>
          </w:p>
          <w:p w14:paraId="15C4D950" w14:textId="77777777" w:rsidR="00373F36" w:rsidRDefault="00373F36" w:rsidP="00F62734">
            <w:pPr>
              <w:rPr>
                <w:rFonts w:cstheme="minorHAnsi"/>
                <w:bCs/>
                <w:szCs w:val="20"/>
              </w:rPr>
            </w:pPr>
          </w:p>
          <w:p w14:paraId="3BD1962C" w14:textId="77777777" w:rsidR="00373F36" w:rsidRDefault="00373F36" w:rsidP="00373F36">
            <w:pPr>
              <w:rPr>
                <w:rFonts w:cstheme="minorHAnsi"/>
                <w:bCs/>
                <w:szCs w:val="20"/>
              </w:rPr>
            </w:pPr>
            <w:r w:rsidRPr="00163C07">
              <w:rPr>
                <w:rFonts w:cstheme="minorHAnsi"/>
                <w:bCs/>
                <w:szCs w:val="20"/>
              </w:rPr>
              <w:t>General Policy Requirements:</w:t>
            </w:r>
          </w:p>
          <w:p w14:paraId="727AF417" w14:textId="77777777" w:rsidR="00373F36" w:rsidRDefault="00373F36" w:rsidP="00373F36">
            <w:pPr>
              <w:pStyle w:val="ListParagraph"/>
              <w:numPr>
                <w:ilvl w:val="0"/>
                <w:numId w:val="42"/>
              </w:numPr>
              <w:ind w:left="358"/>
              <w:rPr>
                <w:rFonts w:cstheme="minorHAnsi"/>
                <w:bCs/>
                <w:szCs w:val="20"/>
              </w:rPr>
            </w:pPr>
            <w:r>
              <w:rPr>
                <w:rFonts w:cstheme="minorHAnsi"/>
                <w:bCs/>
                <w:szCs w:val="20"/>
              </w:rPr>
              <w:t>2018 Workpaper Updates are primarily in response to D.16-08-019 which created the Behavioral, Operational, and Retrocommissioning (BRO) measure classification with EUL values of one to three years with retrocommissioning assigned a three-year EUL. Resolution E-4818 directed that all measures which utilize a degraded performance baseline and/or are restorative of performance in nature be classified as retrocommissioning.</w:t>
            </w:r>
          </w:p>
          <w:p w14:paraId="3534B151" w14:textId="4BF99544" w:rsidR="00373F36" w:rsidRPr="00F62734" w:rsidRDefault="00373F36" w:rsidP="00F62734">
            <w:pPr>
              <w:rPr>
                <w:rFonts w:cstheme="minorHAnsi"/>
                <w:bCs/>
                <w:szCs w:val="20"/>
              </w:rPr>
            </w:pPr>
          </w:p>
        </w:tc>
      </w:tr>
    </w:tbl>
    <w:p w14:paraId="12EA75DA" w14:textId="47B7D9D4" w:rsidR="007F3C2D" w:rsidRDefault="007F3C2D" w:rsidP="006E2D29"/>
    <w:p w14:paraId="732C653E" w14:textId="77777777" w:rsidR="007F3C2D" w:rsidRPr="006E2D29" w:rsidRDefault="007F3C2D" w:rsidP="006E2D29"/>
    <w:p w14:paraId="0A689F00" w14:textId="0E183693" w:rsidR="00DA2822" w:rsidRDefault="008877AF" w:rsidP="00BA5FE4">
      <w:pPr>
        <w:spacing w:line="276" w:lineRule="auto"/>
        <w:rPr>
          <w:szCs w:val="20"/>
        </w:rPr>
      </w:pPr>
      <w:r w:rsidRPr="00BA5FE4">
        <w:rPr>
          <w:color w:val="FF0000"/>
          <w:szCs w:val="20"/>
        </w:rPr>
        <w:t xml:space="preserve"> </w:t>
      </w:r>
      <w:r w:rsidR="00DA2822">
        <w:rPr>
          <w:szCs w:val="20"/>
        </w:rPr>
        <w:br w:type="page"/>
      </w:r>
    </w:p>
    <w:p w14:paraId="255B2329" w14:textId="0070D98B" w:rsidR="00F30167" w:rsidRPr="00F30167" w:rsidRDefault="00F30167" w:rsidP="00BA5FE4">
      <w:pPr>
        <w:spacing w:line="276" w:lineRule="auto"/>
        <w:rPr>
          <w:b/>
          <w:szCs w:val="20"/>
        </w:rPr>
      </w:pPr>
      <w:r w:rsidRPr="00F30167">
        <w:rPr>
          <w:b/>
          <w:szCs w:val="20"/>
        </w:rPr>
        <w:lastRenderedPageBreak/>
        <w:t>Measure Summary</w:t>
      </w:r>
    </w:p>
    <w:p w14:paraId="68F1D0A6" w14:textId="54789E33" w:rsidR="009A2332" w:rsidRDefault="00F30167" w:rsidP="009A2332">
      <w:pPr>
        <w:pStyle w:val="Caption"/>
        <w:keepNext/>
        <w:jc w:val="center"/>
      </w:pPr>
      <w:r>
        <w:t xml:space="preserve">Table </w:t>
      </w:r>
      <w:r w:rsidR="00373F36">
        <w:rPr>
          <w:noProof/>
        </w:rPr>
        <w:fldChar w:fldCharType="begin"/>
      </w:r>
      <w:r w:rsidR="00373F36">
        <w:rPr>
          <w:noProof/>
        </w:rPr>
        <w:instrText xml:space="preserve"> SEQ Table \* ARABIC </w:instrText>
      </w:r>
      <w:r w:rsidR="00373F36">
        <w:rPr>
          <w:noProof/>
        </w:rPr>
        <w:fldChar w:fldCharType="separate"/>
      </w:r>
      <w:r>
        <w:rPr>
          <w:noProof/>
        </w:rPr>
        <w:t>1</w:t>
      </w:r>
      <w:r w:rsidR="00373F36">
        <w:rPr>
          <w:noProof/>
        </w:rPr>
        <w:fldChar w:fldCharType="end"/>
      </w:r>
      <w:r>
        <w:t>: Measure Summary Table</w:t>
      </w:r>
    </w:p>
    <w:p w14:paraId="469E3748" w14:textId="77777777" w:rsidR="009A2332" w:rsidRDefault="009A2332" w:rsidP="009A2332"/>
    <w:tbl>
      <w:tblPr>
        <w:tblStyle w:val="TableGrid"/>
        <w:tblW w:w="0" w:type="auto"/>
        <w:tblLook w:val="04A0" w:firstRow="1" w:lastRow="0" w:firstColumn="1" w:lastColumn="0" w:noHBand="0" w:noVBand="1"/>
      </w:tblPr>
      <w:tblGrid>
        <w:gridCol w:w="2785"/>
        <w:gridCol w:w="6565"/>
      </w:tblGrid>
      <w:tr w:rsidR="009A2332" w14:paraId="3F9CA93E" w14:textId="77777777" w:rsidTr="006E2D29">
        <w:trPr>
          <w:trHeight w:val="576"/>
          <w:tblHeader/>
        </w:trPr>
        <w:tc>
          <w:tcPr>
            <w:tcW w:w="2785" w:type="dxa"/>
          </w:tcPr>
          <w:p w14:paraId="448E7296" w14:textId="39C7C9A2" w:rsidR="009A2332" w:rsidRPr="009A2332" w:rsidRDefault="009A2332" w:rsidP="009A2332">
            <w:pPr>
              <w:rPr>
                <w:sz w:val="28"/>
              </w:rPr>
            </w:pPr>
            <w:r w:rsidRPr="009A2332">
              <w:rPr>
                <w:rStyle w:val="Strong"/>
                <w:rFonts w:asciiTheme="minorHAnsi" w:hAnsiTheme="minorHAnsi"/>
                <w:sz w:val="28"/>
                <w:szCs w:val="22"/>
              </w:rPr>
              <w:t>Section</w:t>
            </w:r>
          </w:p>
        </w:tc>
        <w:tc>
          <w:tcPr>
            <w:tcW w:w="6565" w:type="dxa"/>
          </w:tcPr>
          <w:p w14:paraId="27CEB258" w14:textId="408F314E" w:rsidR="009A2332" w:rsidRPr="009A2332" w:rsidRDefault="009A2332" w:rsidP="009A2332">
            <w:pPr>
              <w:rPr>
                <w:sz w:val="28"/>
              </w:rPr>
            </w:pPr>
            <w:r w:rsidRPr="009A2332">
              <w:rPr>
                <w:rFonts w:cs="Arial"/>
                <w:b/>
                <w:sz w:val="28"/>
                <w:szCs w:val="20"/>
              </w:rPr>
              <w:t>Value</w:t>
            </w:r>
          </w:p>
        </w:tc>
      </w:tr>
      <w:tr w:rsidR="009A2332" w14:paraId="174B4A0E" w14:textId="77777777" w:rsidTr="006E2D29">
        <w:trPr>
          <w:trHeight w:val="576"/>
        </w:trPr>
        <w:tc>
          <w:tcPr>
            <w:tcW w:w="2785" w:type="dxa"/>
          </w:tcPr>
          <w:p w14:paraId="7815901A" w14:textId="49098287" w:rsidR="009A2332" w:rsidRPr="006E2D29" w:rsidRDefault="009A2332" w:rsidP="009A2332">
            <w:pPr>
              <w:rPr>
                <w:sz w:val="20"/>
                <w:szCs w:val="20"/>
              </w:rPr>
            </w:pPr>
            <w:r w:rsidRPr="006E2D29">
              <w:rPr>
                <w:rStyle w:val="Strong"/>
                <w:rFonts w:asciiTheme="minorHAnsi" w:hAnsiTheme="minorHAnsi"/>
                <w:sz w:val="20"/>
                <w:szCs w:val="20"/>
              </w:rPr>
              <w:t>Summary &amp; Purpose</w:t>
            </w:r>
          </w:p>
        </w:tc>
        <w:tc>
          <w:tcPr>
            <w:tcW w:w="6565" w:type="dxa"/>
          </w:tcPr>
          <w:p w14:paraId="182251C6" w14:textId="77777777" w:rsidR="002B2F2E" w:rsidRDefault="002B2F2E" w:rsidP="009A2332">
            <w:pPr>
              <w:rPr>
                <w:sz w:val="20"/>
                <w:szCs w:val="20"/>
              </w:rPr>
            </w:pPr>
            <w:r w:rsidRPr="006E2D29">
              <w:rPr>
                <w:sz w:val="20"/>
                <w:szCs w:val="20"/>
              </w:rPr>
              <w:t xml:space="preserve">This sort form work paper documents </w:t>
            </w:r>
            <w:r w:rsidR="00F6480D">
              <w:rPr>
                <w:sz w:val="20"/>
                <w:szCs w:val="20"/>
              </w:rPr>
              <w:t>the inputs for measures that red</w:t>
            </w:r>
            <w:r w:rsidRPr="006E2D29">
              <w:rPr>
                <w:sz w:val="20"/>
                <w:szCs w:val="20"/>
              </w:rPr>
              <w:t>uce energy associated supply fan operation in existing nonresidential split systems and unitary HVAC equipment. The savings values are based on PGE’s workpaper PGE3PHVC157 R3 – “Unoccupied Supply Fan Control” document.</w:t>
            </w:r>
          </w:p>
          <w:p w14:paraId="7E72DFC1" w14:textId="77777777" w:rsidR="000840E9" w:rsidRDefault="000840E9" w:rsidP="009A2332">
            <w:pPr>
              <w:rPr>
                <w:sz w:val="20"/>
                <w:szCs w:val="20"/>
              </w:rPr>
            </w:pPr>
          </w:p>
          <w:p w14:paraId="6E463AD1" w14:textId="126A9ABA" w:rsidR="000840E9" w:rsidRPr="006E2D29" w:rsidRDefault="000840E9" w:rsidP="009A2332">
            <w:pPr>
              <w:rPr>
                <w:sz w:val="20"/>
                <w:szCs w:val="20"/>
              </w:rPr>
            </w:pPr>
            <w:r w:rsidRPr="000840E9">
              <w:rPr>
                <w:sz w:val="20"/>
                <w:szCs w:val="20"/>
              </w:rPr>
              <w:t>The target market for this measure is nonresidential buildings served by direct expansion (DX) unitary and split systems that do not serve process or refrigeration loads.</w:t>
            </w:r>
            <w:r>
              <w:rPr>
                <w:sz w:val="20"/>
                <w:szCs w:val="20"/>
              </w:rPr>
              <w:t xml:space="preserve"> </w:t>
            </w:r>
            <w:r w:rsidRPr="000840E9">
              <w:rPr>
                <w:sz w:val="20"/>
                <w:szCs w:val="20"/>
              </w:rPr>
              <w:t>These measures are defined for all SCE California climate zones. Applicable building types vary by measure – refer to full PGE workpaper for details.</w:t>
            </w:r>
          </w:p>
        </w:tc>
      </w:tr>
      <w:tr w:rsidR="009A2332" w14:paraId="369C5B93" w14:textId="77777777" w:rsidTr="006E2D29">
        <w:trPr>
          <w:trHeight w:val="576"/>
        </w:trPr>
        <w:tc>
          <w:tcPr>
            <w:tcW w:w="2785" w:type="dxa"/>
          </w:tcPr>
          <w:p w14:paraId="3E64C4BE" w14:textId="0CE1557B" w:rsidR="009A2332" w:rsidRPr="006E2D29" w:rsidRDefault="009A2332" w:rsidP="009A2332">
            <w:pPr>
              <w:rPr>
                <w:sz w:val="20"/>
                <w:szCs w:val="20"/>
              </w:rPr>
            </w:pPr>
            <w:r w:rsidRPr="006E2D29">
              <w:rPr>
                <w:rStyle w:val="Strong"/>
                <w:rFonts w:asciiTheme="minorHAnsi" w:hAnsiTheme="minorHAnsi"/>
                <w:sz w:val="20"/>
                <w:szCs w:val="20"/>
              </w:rPr>
              <w:t>1.1 Measure &amp; Baseline</w:t>
            </w:r>
          </w:p>
        </w:tc>
        <w:tc>
          <w:tcPr>
            <w:tcW w:w="6565" w:type="dxa"/>
          </w:tcPr>
          <w:p w14:paraId="3BE895F6" w14:textId="77777777" w:rsidR="000840E9" w:rsidRPr="006E2D29" w:rsidRDefault="000840E9" w:rsidP="000840E9">
            <w:pPr>
              <w:tabs>
                <w:tab w:val="left" w:pos="1512"/>
              </w:tabs>
              <w:rPr>
                <w:sz w:val="20"/>
                <w:szCs w:val="20"/>
                <w:u w:val="single"/>
              </w:rPr>
            </w:pPr>
            <w:r w:rsidRPr="006E2D29">
              <w:rPr>
                <w:sz w:val="20"/>
                <w:szCs w:val="20"/>
                <w:u w:val="single"/>
              </w:rPr>
              <w:t>Baseline</w:t>
            </w:r>
          </w:p>
          <w:p w14:paraId="64CDC266" w14:textId="46F10035" w:rsidR="000840E9" w:rsidRPr="000840E9" w:rsidRDefault="000840E9" w:rsidP="000840E9">
            <w:pPr>
              <w:tabs>
                <w:tab w:val="left" w:pos="1512"/>
              </w:tabs>
              <w:rPr>
                <w:sz w:val="20"/>
                <w:szCs w:val="20"/>
              </w:rPr>
            </w:pPr>
            <w:r w:rsidRPr="000840E9">
              <w:rPr>
                <w:sz w:val="20"/>
                <w:szCs w:val="20"/>
              </w:rPr>
              <w:t xml:space="preserve">This measure assumes the existing unit </w:t>
            </w:r>
            <w:r>
              <w:rPr>
                <w:sz w:val="20"/>
                <w:szCs w:val="20"/>
              </w:rPr>
              <w:t>operates the supply fan continuously during unoccupied periods.</w:t>
            </w:r>
          </w:p>
          <w:p w14:paraId="44A7C08F" w14:textId="77777777" w:rsidR="000840E9" w:rsidRPr="000840E9" w:rsidRDefault="000840E9" w:rsidP="000840E9">
            <w:pPr>
              <w:tabs>
                <w:tab w:val="left" w:pos="1512"/>
              </w:tabs>
              <w:rPr>
                <w:sz w:val="20"/>
                <w:szCs w:val="20"/>
              </w:rPr>
            </w:pPr>
          </w:p>
          <w:p w14:paraId="7293114D" w14:textId="77777777" w:rsidR="000840E9" w:rsidRPr="006E2D29" w:rsidRDefault="000840E9" w:rsidP="000840E9">
            <w:pPr>
              <w:tabs>
                <w:tab w:val="left" w:pos="1512"/>
              </w:tabs>
              <w:rPr>
                <w:sz w:val="20"/>
                <w:szCs w:val="20"/>
                <w:u w:val="single"/>
              </w:rPr>
            </w:pPr>
            <w:r w:rsidRPr="006E2D29">
              <w:rPr>
                <w:sz w:val="20"/>
                <w:szCs w:val="20"/>
                <w:u w:val="single"/>
              </w:rPr>
              <w:t>Measure</w:t>
            </w:r>
          </w:p>
          <w:p w14:paraId="6B879CC7" w14:textId="15B3DD69" w:rsidR="000840E9" w:rsidRDefault="00355E28" w:rsidP="006E2D29">
            <w:pPr>
              <w:tabs>
                <w:tab w:val="left" w:pos="1512"/>
              </w:tabs>
              <w:rPr>
                <w:sz w:val="20"/>
                <w:szCs w:val="20"/>
              </w:rPr>
            </w:pPr>
            <w:r>
              <w:rPr>
                <w:sz w:val="20"/>
                <w:szCs w:val="20"/>
              </w:rPr>
              <w:t>U</w:t>
            </w:r>
            <w:r w:rsidRPr="00355E28">
              <w:rPr>
                <w:sz w:val="20"/>
                <w:szCs w:val="20"/>
              </w:rPr>
              <w:t xml:space="preserve">noccupied fan control on a variety of AC and heat pump HVAC units. </w:t>
            </w:r>
            <w:r w:rsidR="006A19C8">
              <w:rPr>
                <w:sz w:val="20"/>
                <w:szCs w:val="20"/>
              </w:rPr>
              <w:t>The supply fan should be set to “Auto” or have intermittent operation during unoccupied periods.</w:t>
            </w:r>
          </w:p>
          <w:p w14:paraId="3B5292D1" w14:textId="045964F1" w:rsidR="00AD5066" w:rsidRPr="006E2D29" w:rsidRDefault="00AD5066" w:rsidP="00AD5066">
            <w:pPr>
              <w:tabs>
                <w:tab w:val="left" w:pos="1512"/>
              </w:tabs>
              <w:rPr>
                <w:sz w:val="20"/>
                <w:szCs w:val="20"/>
              </w:rPr>
            </w:pPr>
          </w:p>
          <w:p w14:paraId="3ADC75B4" w14:textId="1F611C28" w:rsidR="009A2332" w:rsidRPr="006E2D29" w:rsidRDefault="00AD5066" w:rsidP="006E2D29">
            <w:pPr>
              <w:tabs>
                <w:tab w:val="left" w:pos="1512"/>
              </w:tabs>
              <w:rPr>
                <w:sz w:val="20"/>
                <w:szCs w:val="20"/>
              </w:rPr>
            </w:pPr>
            <w:r w:rsidRPr="006E2D29">
              <w:rPr>
                <w:sz w:val="20"/>
                <w:szCs w:val="20"/>
              </w:rPr>
              <w:t>Please refer to Attachment #1 Calculation Templates</w:t>
            </w:r>
            <w:r w:rsidR="00440F95">
              <w:rPr>
                <w:sz w:val="20"/>
                <w:szCs w:val="20"/>
              </w:rPr>
              <w:t xml:space="preserve"> </w:t>
            </w:r>
            <w:r w:rsidRPr="006E2D29">
              <w:rPr>
                <w:sz w:val="20"/>
                <w:szCs w:val="20"/>
              </w:rPr>
              <w:t>for additional information on codes and baseline condition.</w:t>
            </w:r>
          </w:p>
        </w:tc>
      </w:tr>
      <w:tr w:rsidR="009A2332" w14:paraId="7CE0AC9F" w14:textId="77777777" w:rsidTr="006E2D29">
        <w:trPr>
          <w:trHeight w:val="576"/>
        </w:trPr>
        <w:tc>
          <w:tcPr>
            <w:tcW w:w="2785" w:type="dxa"/>
          </w:tcPr>
          <w:p w14:paraId="2771E06F" w14:textId="3B991165" w:rsidR="009A2332" w:rsidRPr="006E2D29" w:rsidRDefault="009A2332" w:rsidP="009A2332">
            <w:pPr>
              <w:rPr>
                <w:sz w:val="20"/>
                <w:szCs w:val="20"/>
              </w:rPr>
            </w:pPr>
            <w:r w:rsidRPr="006E2D29">
              <w:rPr>
                <w:rStyle w:val="Strong"/>
                <w:rFonts w:asciiTheme="minorHAnsi" w:hAnsiTheme="minorHAnsi"/>
                <w:sz w:val="20"/>
                <w:szCs w:val="20"/>
              </w:rPr>
              <w:t>1.2 Technical Description</w:t>
            </w:r>
          </w:p>
        </w:tc>
        <w:tc>
          <w:tcPr>
            <w:tcW w:w="6565" w:type="dxa"/>
          </w:tcPr>
          <w:p w14:paraId="56BBC77B" w14:textId="77777777" w:rsidR="009A2332" w:rsidRPr="006E2D29" w:rsidRDefault="009A2332" w:rsidP="009A2332">
            <w:pPr>
              <w:rPr>
                <w:sz w:val="20"/>
                <w:szCs w:val="20"/>
              </w:rPr>
            </w:pPr>
          </w:p>
        </w:tc>
      </w:tr>
      <w:tr w:rsidR="009A2332" w14:paraId="6A22A103" w14:textId="77777777" w:rsidTr="006E2D29">
        <w:trPr>
          <w:trHeight w:val="576"/>
        </w:trPr>
        <w:tc>
          <w:tcPr>
            <w:tcW w:w="2785" w:type="dxa"/>
          </w:tcPr>
          <w:p w14:paraId="524B4207" w14:textId="7A3D34FE" w:rsidR="009A2332" w:rsidRPr="006E2D29" w:rsidRDefault="009A2332" w:rsidP="009A2332">
            <w:pPr>
              <w:rPr>
                <w:sz w:val="20"/>
                <w:szCs w:val="20"/>
              </w:rPr>
            </w:pPr>
            <w:r w:rsidRPr="006E2D29">
              <w:rPr>
                <w:rStyle w:val="Strong"/>
                <w:rFonts w:asciiTheme="minorHAnsi" w:hAnsiTheme="minorHAnsi"/>
                <w:b w:val="0"/>
                <w:sz w:val="20"/>
                <w:szCs w:val="20"/>
              </w:rPr>
              <w:t>Measures</w:t>
            </w:r>
          </w:p>
        </w:tc>
        <w:tc>
          <w:tcPr>
            <w:tcW w:w="6565" w:type="dxa"/>
          </w:tcPr>
          <w:p w14:paraId="704447F3" w14:textId="15B129C7" w:rsidR="00EF6CE5" w:rsidRPr="006E2D29" w:rsidRDefault="00EF6CE5">
            <w:pPr>
              <w:rPr>
                <w:sz w:val="20"/>
                <w:szCs w:val="20"/>
              </w:rPr>
            </w:pPr>
            <w:r w:rsidRPr="006E2D29">
              <w:rPr>
                <w:sz w:val="20"/>
                <w:szCs w:val="20"/>
              </w:rPr>
              <w:t>AC-11568: Unoccupied Fan Control on AC Unit with Gas Heat</w:t>
            </w:r>
            <w:r w:rsidR="00236148">
              <w:rPr>
                <w:sz w:val="20"/>
                <w:szCs w:val="20"/>
              </w:rPr>
              <w:t xml:space="preserve"> (PGE ID – HV326</w:t>
            </w:r>
            <w:r w:rsidR="00236148" w:rsidRPr="00320DEE">
              <w:rPr>
                <w:sz w:val="20"/>
                <w:szCs w:val="20"/>
              </w:rPr>
              <w:t>)</w:t>
            </w:r>
          </w:p>
          <w:p w14:paraId="55BF04EB" w14:textId="77777777" w:rsidR="00EF6CE5" w:rsidRPr="006E2D29" w:rsidRDefault="00EF6CE5">
            <w:pPr>
              <w:rPr>
                <w:sz w:val="20"/>
                <w:szCs w:val="20"/>
              </w:rPr>
            </w:pPr>
          </w:p>
          <w:p w14:paraId="418D87F5" w14:textId="42A968EA" w:rsidR="00EF6CE5" w:rsidRPr="006E2D29" w:rsidRDefault="00EF6CE5">
            <w:pPr>
              <w:rPr>
                <w:sz w:val="20"/>
                <w:szCs w:val="20"/>
              </w:rPr>
            </w:pPr>
            <w:r w:rsidRPr="006E2D29">
              <w:rPr>
                <w:sz w:val="20"/>
                <w:szCs w:val="20"/>
              </w:rPr>
              <w:t>AC-11566: Unoccupied Fan Control on AC Only Unit</w:t>
            </w:r>
            <w:r w:rsidR="00236148">
              <w:rPr>
                <w:sz w:val="20"/>
                <w:szCs w:val="20"/>
              </w:rPr>
              <w:t xml:space="preserve"> (PGE ID – HV327</w:t>
            </w:r>
            <w:r w:rsidR="00236148" w:rsidRPr="00320DEE">
              <w:rPr>
                <w:sz w:val="20"/>
                <w:szCs w:val="20"/>
              </w:rPr>
              <w:t>)</w:t>
            </w:r>
          </w:p>
          <w:p w14:paraId="02FF0C62" w14:textId="77777777" w:rsidR="00EF6CE5" w:rsidRPr="006E2D29" w:rsidRDefault="00EF6CE5" w:rsidP="00EF6CE5">
            <w:pPr>
              <w:rPr>
                <w:sz w:val="20"/>
                <w:szCs w:val="20"/>
              </w:rPr>
            </w:pPr>
          </w:p>
          <w:p w14:paraId="04B4A684" w14:textId="264E6748" w:rsidR="00EF6CE5" w:rsidRPr="006E2D29" w:rsidRDefault="00EF6CE5">
            <w:pPr>
              <w:rPr>
                <w:sz w:val="20"/>
                <w:szCs w:val="20"/>
              </w:rPr>
            </w:pPr>
            <w:r w:rsidRPr="006E2D29">
              <w:rPr>
                <w:sz w:val="20"/>
                <w:szCs w:val="20"/>
              </w:rPr>
              <w:t>AC-11570: Unoccupied Fan Control on Heat Pump</w:t>
            </w:r>
            <w:r w:rsidR="00236148">
              <w:rPr>
                <w:sz w:val="20"/>
                <w:szCs w:val="20"/>
              </w:rPr>
              <w:t xml:space="preserve"> </w:t>
            </w:r>
            <w:r w:rsidR="00236148" w:rsidRPr="00320DEE">
              <w:rPr>
                <w:sz w:val="20"/>
                <w:szCs w:val="20"/>
              </w:rPr>
              <w:t>(PGE ID – HV32</w:t>
            </w:r>
            <w:r w:rsidR="00236148">
              <w:rPr>
                <w:sz w:val="20"/>
                <w:szCs w:val="20"/>
              </w:rPr>
              <w:t>8</w:t>
            </w:r>
            <w:r w:rsidR="00236148" w:rsidRPr="00320DEE">
              <w:rPr>
                <w:sz w:val="20"/>
                <w:szCs w:val="20"/>
              </w:rPr>
              <w:t>)</w:t>
            </w:r>
          </w:p>
          <w:p w14:paraId="61B2E7E6" w14:textId="77777777" w:rsidR="00EF6CE5" w:rsidRPr="006E2D29" w:rsidRDefault="00EF6CE5" w:rsidP="00EF6CE5">
            <w:pPr>
              <w:rPr>
                <w:sz w:val="20"/>
                <w:szCs w:val="20"/>
              </w:rPr>
            </w:pPr>
          </w:p>
          <w:p w14:paraId="2E5C4E4D" w14:textId="77777777" w:rsidR="009A2332" w:rsidRDefault="00EF6CE5">
            <w:pPr>
              <w:rPr>
                <w:sz w:val="20"/>
                <w:szCs w:val="20"/>
              </w:rPr>
            </w:pPr>
            <w:r w:rsidRPr="006E2D29">
              <w:rPr>
                <w:sz w:val="20"/>
                <w:szCs w:val="20"/>
              </w:rPr>
              <w:t>AC-11585: Unoccupied Fan Control on Variable Volume AC Unit with Gas Heat</w:t>
            </w:r>
            <w:r w:rsidR="00236148">
              <w:rPr>
                <w:sz w:val="20"/>
                <w:szCs w:val="20"/>
              </w:rPr>
              <w:t xml:space="preserve"> </w:t>
            </w:r>
            <w:r w:rsidR="00236148" w:rsidRPr="00320DEE">
              <w:rPr>
                <w:sz w:val="20"/>
                <w:szCs w:val="20"/>
              </w:rPr>
              <w:t>(PGE ID – HV32</w:t>
            </w:r>
            <w:r w:rsidR="00236148">
              <w:rPr>
                <w:sz w:val="20"/>
                <w:szCs w:val="20"/>
              </w:rPr>
              <w:t>9</w:t>
            </w:r>
            <w:r w:rsidR="00236148" w:rsidRPr="00320DEE">
              <w:rPr>
                <w:sz w:val="20"/>
                <w:szCs w:val="20"/>
              </w:rPr>
              <w:t>)</w:t>
            </w:r>
          </w:p>
          <w:p w14:paraId="4CC11527" w14:textId="263618EA" w:rsidR="008C149D" w:rsidRDefault="008C149D">
            <w:pPr>
              <w:rPr>
                <w:sz w:val="20"/>
                <w:szCs w:val="20"/>
              </w:rPr>
            </w:pPr>
          </w:p>
          <w:p w14:paraId="04669B0F" w14:textId="7EC2870E" w:rsidR="00A20520" w:rsidRDefault="006A19C8">
            <w:pPr>
              <w:rPr>
                <w:sz w:val="20"/>
                <w:szCs w:val="20"/>
              </w:rPr>
            </w:pPr>
            <w:r w:rsidRPr="006A19C8">
              <w:rPr>
                <w:sz w:val="20"/>
                <w:szCs w:val="20"/>
              </w:rPr>
              <w:t>The Unoccupied Fan Control measure modifies existing thermostat settings during unoccupied periods from continuous fan operation to intermittent fan operation. Energy savings are achieved through reducing unoccupied supply fan runtime unless zone conditions call for cooling or heating. Reduction in unoccupied supply fan runtime can also prevent bringing potentially unfavorable outside air into the conditioned space through leaky economizer dampers, causing an unnecessary increase in space heating or cooling.</w:t>
            </w:r>
          </w:p>
          <w:p w14:paraId="2C30E089" w14:textId="2634A595" w:rsidR="008C149D" w:rsidRPr="006E2D29" w:rsidRDefault="008C149D">
            <w:pPr>
              <w:rPr>
                <w:sz w:val="20"/>
                <w:szCs w:val="20"/>
              </w:rPr>
            </w:pPr>
          </w:p>
        </w:tc>
      </w:tr>
      <w:tr w:rsidR="009A2332" w14:paraId="59049B71" w14:textId="77777777" w:rsidTr="006E2D29">
        <w:trPr>
          <w:trHeight w:val="576"/>
        </w:trPr>
        <w:tc>
          <w:tcPr>
            <w:tcW w:w="2785" w:type="dxa"/>
          </w:tcPr>
          <w:p w14:paraId="4D87E79A" w14:textId="4EE9FDBE" w:rsidR="00EF6CE5" w:rsidRPr="006E2D29" w:rsidRDefault="009A2332" w:rsidP="009A2332">
            <w:pPr>
              <w:rPr>
                <w:bCs/>
                <w:sz w:val="20"/>
                <w:szCs w:val="20"/>
              </w:rPr>
            </w:pPr>
            <w:r w:rsidRPr="006E2D29">
              <w:rPr>
                <w:rStyle w:val="Strong"/>
                <w:rFonts w:asciiTheme="minorHAnsi" w:hAnsiTheme="minorHAnsi"/>
                <w:b w:val="0"/>
                <w:sz w:val="20"/>
                <w:szCs w:val="20"/>
              </w:rPr>
              <w:t>Code for All Measures</w:t>
            </w:r>
          </w:p>
        </w:tc>
        <w:tc>
          <w:tcPr>
            <w:tcW w:w="6565" w:type="dxa"/>
          </w:tcPr>
          <w:p w14:paraId="71CCCDEB" w14:textId="4297DDAE" w:rsidR="009A2332" w:rsidRPr="006E2D29" w:rsidRDefault="00EF6CE5" w:rsidP="009A2332">
            <w:pPr>
              <w:rPr>
                <w:sz w:val="20"/>
                <w:szCs w:val="20"/>
              </w:rPr>
            </w:pPr>
            <w:r w:rsidRPr="006E2D29">
              <w:rPr>
                <w:sz w:val="20"/>
                <w:szCs w:val="20"/>
              </w:rPr>
              <w:t xml:space="preserve">These maintenance measures are not governed by either state or federal codes and standards. The document Standard 180-2008, Standard Practice for Inspection and Maintenance of Commercial Building HVAC Systems may be used by QM programs as a guide for measure implementation. Only licensed </w:t>
            </w:r>
            <w:r w:rsidRPr="006E2D29">
              <w:rPr>
                <w:sz w:val="20"/>
                <w:szCs w:val="20"/>
              </w:rPr>
              <w:lastRenderedPageBreak/>
              <w:t>California contractors will participate in the program.  As required by the California State Licensing Board, contractors will be responsible for meeting all applicable codes.  In general, maintenance and repairs do not require permits.</w:t>
            </w:r>
          </w:p>
        </w:tc>
      </w:tr>
      <w:tr w:rsidR="009A2332" w14:paraId="7696972E" w14:textId="77777777" w:rsidTr="006E2D29">
        <w:trPr>
          <w:trHeight w:val="576"/>
        </w:trPr>
        <w:tc>
          <w:tcPr>
            <w:tcW w:w="2785" w:type="dxa"/>
          </w:tcPr>
          <w:p w14:paraId="20CC2D9F" w14:textId="0410DA01" w:rsidR="009A2332" w:rsidRPr="006E2D29" w:rsidRDefault="009A2332" w:rsidP="009A2332">
            <w:pPr>
              <w:rPr>
                <w:sz w:val="20"/>
                <w:szCs w:val="20"/>
              </w:rPr>
            </w:pPr>
            <w:r w:rsidRPr="006E2D29">
              <w:rPr>
                <w:rStyle w:val="Strong"/>
                <w:rFonts w:asciiTheme="minorHAnsi" w:hAnsiTheme="minorHAnsi"/>
                <w:b w:val="0"/>
                <w:sz w:val="20"/>
                <w:szCs w:val="20"/>
              </w:rPr>
              <w:lastRenderedPageBreak/>
              <w:t>Requirements</w:t>
            </w:r>
          </w:p>
        </w:tc>
        <w:tc>
          <w:tcPr>
            <w:tcW w:w="6565" w:type="dxa"/>
          </w:tcPr>
          <w:p w14:paraId="1E9956D5" w14:textId="08A45F0A" w:rsidR="009A2332" w:rsidRDefault="00EF6CE5" w:rsidP="009A2332">
            <w:pPr>
              <w:rPr>
                <w:sz w:val="20"/>
                <w:szCs w:val="20"/>
              </w:rPr>
            </w:pPr>
            <w:r w:rsidRPr="006E2D29">
              <w:rPr>
                <w:sz w:val="20"/>
                <w:szCs w:val="20"/>
              </w:rPr>
              <w:t>Eligibility Requirements:</w:t>
            </w:r>
          </w:p>
          <w:p w14:paraId="24DEC5FF" w14:textId="1B4F99C1" w:rsidR="00F6480D" w:rsidRDefault="0068680A" w:rsidP="006E2D29">
            <w:pPr>
              <w:pStyle w:val="ListParagraph"/>
              <w:numPr>
                <w:ilvl w:val="0"/>
                <w:numId w:val="40"/>
              </w:numPr>
              <w:ind w:left="341"/>
              <w:rPr>
                <w:sz w:val="20"/>
                <w:szCs w:val="20"/>
              </w:rPr>
            </w:pPr>
            <w:r>
              <w:rPr>
                <w:sz w:val="20"/>
                <w:szCs w:val="20"/>
              </w:rPr>
              <w:t>Nonresidential direct expansion (DX) unitary and split HVAC system</w:t>
            </w:r>
          </w:p>
          <w:p w14:paraId="64774BD1" w14:textId="71F1842C" w:rsidR="0068680A" w:rsidRDefault="0068680A" w:rsidP="006E2D29">
            <w:pPr>
              <w:pStyle w:val="ListParagraph"/>
              <w:numPr>
                <w:ilvl w:val="0"/>
                <w:numId w:val="40"/>
              </w:numPr>
              <w:ind w:left="341"/>
              <w:rPr>
                <w:sz w:val="20"/>
                <w:szCs w:val="20"/>
              </w:rPr>
            </w:pPr>
            <w:r>
              <w:rPr>
                <w:sz w:val="20"/>
                <w:szCs w:val="20"/>
              </w:rPr>
              <w:t>Unit cannot serve process or refrigeration loads</w:t>
            </w:r>
          </w:p>
          <w:p w14:paraId="58718C90" w14:textId="10D833D1" w:rsidR="0068680A" w:rsidRDefault="0068680A">
            <w:pPr>
              <w:rPr>
                <w:sz w:val="20"/>
                <w:szCs w:val="20"/>
              </w:rPr>
            </w:pPr>
          </w:p>
          <w:p w14:paraId="51488369" w14:textId="308A1786" w:rsidR="0068680A" w:rsidRDefault="0068680A">
            <w:pPr>
              <w:rPr>
                <w:sz w:val="20"/>
                <w:szCs w:val="20"/>
              </w:rPr>
            </w:pPr>
            <w:r>
              <w:rPr>
                <w:sz w:val="20"/>
                <w:szCs w:val="20"/>
              </w:rPr>
              <w:t>Implementation and installation requirements:</w:t>
            </w:r>
          </w:p>
          <w:p w14:paraId="3CB534D7" w14:textId="16C9FEAD" w:rsidR="006A19C8" w:rsidRDefault="006A19C8">
            <w:pPr>
              <w:rPr>
                <w:sz w:val="20"/>
                <w:szCs w:val="20"/>
              </w:rPr>
            </w:pPr>
            <w:r w:rsidRPr="006A19C8">
              <w:rPr>
                <w:sz w:val="20"/>
                <w:szCs w:val="20"/>
              </w:rPr>
              <w:t>This measure requires field documentation of the existing conditions that verify the measure was necessary and that the measure was successfully applied. This measure does not apply if the unoccupied supply fan operation is already set to “Auto” or intermittent.</w:t>
            </w:r>
          </w:p>
          <w:p w14:paraId="5E3BF708" w14:textId="77777777" w:rsidR="006A19C8" w:rsidRDefault="006A19C8">
            <w:pPr>
              <w:rPr>
                <w:sz w:val="20"/>
                <w:szCs w:val="20"/>
              </w:rPr>
            </w:pPr>
          </w:p>
          <w:p w14:paraId="53FEF1FF" w14:textId="2AE99B7B" w:rsidR="00B5282C" w:rsidRPr="006E2D29" w:rsidRDefault="0068680A">
            <w:pPr>
              <w:rPr>
                <w:b/>
                <w:sz w:val="20"/>
                <w:szCs w:val="20"/>
              </w:rPr>
            </w:pPr>
            <w:r>
              <w:rPr>
                <w:sz w:val="20"/>
                <w:szCs w:val="20"/>
              </w:rPr>
              <w:t>Measures presented in this Workpaper apply to SCE climate zones</w:t>
            </w:r>
            <w:r w:rsidR="006A19C8">
              <w:rPr>
                <w:sz w:val="20"/>
                <w:szCs w:val="20"/>
              </w:rPr>
              <w:t xml:space="preserve">. The </w:t>
            </w:r>
            <w:r w:rsidR="00355E28">
              <w:rPr>
                <w:sz w:val="20"/>
                <w:szCs w:val="20"/>
              </w:rPr>
              <w:t xml:space="preserve">non-residential </w:t>
            </w:r>
            <w:r w:rsidR="006A19C8">
              <w:rPr>
                <w:sz w:val="20"/>
                <w:szCs w:val="20"/>
              </w:rPr>
              <w:t xml:space="preserve">building types eligible for this measure vary slightly by solution code. </w:t>
            </w:r>
            <w:r w:rsidR="006A19C8" w:rsidRPr="006C2171">
              <w:rPr>
                <w:sz w:val="20"/>
                <w:szCs w:val="20"/>
              </w:rPr>
              <w:t>Please refer to Attachment #1 Calculation Templates</w:t>
            </w:r>
            <w:r w:rsidR="006A19C8">
              <w:rPr>
                <w:sz w:val="20"/>
                <w:szCs w:val="20"/>
              </w:rPr>
              <w:t xml:space="preserve"> for </w:t>
            </w:r>
            <w:r w:rsidR="00017021">
              <w:rPr>
                <w:sz w:val="20"/>
                <w:szCs w:val="20"/>
              </w:rPr>
              <w:t xml:space="preserve">additional </w:t>
            </w:r>
            <w:r w:rsidR="006A19C8">
              <w:rPr>
                <w:sz w:val="20"/>
                <w:szCs w:val="20"/>
              </w:rPr>
              <w:t>details.</w:t>
            </w:r>
          </w:p>
        </w:tc>
      </w:tr>
      <w:tr w:rsidR="009A2332" w14:paraId="40AF0DB1" w14:textId="77777777" w:rsidTr="006E2D29">
        <w:trPr>
          <w:trHeight w:val="576"/>
        </w:trPr>
        <w:tc>
          <w:tcPr>
            <w:tcW w:w="2785" w:type="dxa"/>
          </w:tcPr>
          <w:p w14:paraId="0A32ADDC" w14:textId="15881A27" w:rsidR="009A2332" w:rsidRPr="006E2D29" w:rsidRDefault="009A2332" w:rsidP="009A2332">
            <w:pPr>
              <w:rPr>
                <w:sz w:val="20"/>
                <w:szCs w:val="20"/>
              </w:rPr>
            </w:pPr>
            <w:r w:rsidRPr="006E2D29">
              <w:rPr>
                <w:rStyle w:val="Strong"/>
                <w:rFonts w:asciiTheme="minorHAnsi" w:hAnsiTheme="minorHAnsi"/>
                <w:sz w:val="20"/>
                <w:szCs w:val="20"/>
              </w:rPr>
              <w:t>1.3 Installation Type and Delivery Mechanisms</w:t>
            </w:r>
          </w:p>
        </w:tc>
        <w:tc>
          <w:tcPr>
            <w:tcW w:w="6565" w:type="dxa"/>
          </w:tcPr>
          <w:p w14:paraId="554484FF" w14:textId="6AA08198" w:rsidR="0022255E" w:rsidRPr="006E2D29" w:rsidRDefault="0022255E">
            <w:pPr>
              <w:rPr>
                <w:sz w:val="20"/>
                <w:szCs w:val="20"/>
              </w:rPr>
            </w:pPr>
          </w:p>
        </w:tc>
      </w:tr>
      <w:tr w:rsidR="009A2332" w14:paraId="5D5B8844" w14:textId="77777777" w:rsidTr="006E2D29">
        <w:trPr>
          <w:trHeight w:val="576"/>
        </w:trPr>
        <w:tc>
          <w:tcPr>
            <w:tcW w:w="2785" w:type="dxa"/>
          </w:tcPr>
          <w:p w14:paraId="75A73897" w14:textId="21601014" w:rsidR="009A2332" w:rsidRPr="006E2D29" w:rsidRDefault="009A2332" w:rsidP="009A2332">
            <w:pPr>
              <w:rPr>
                <w:sz w:val="20"/>
                <w:szCs w:val="20"/>
              </w:rPr>
            </w:pPr>
            <w:r w:rsidRPr="006E2D29">
              <w:rPr>
                <w:rStyle w:val="Strong"/>
                <w:rFonts w:asciiTheme="minorHAnsi" w:hAnsiTheme="minorHAnsi"/>
                <w:b w:val="0"/>
                <w:sz w:val="20"/>
                <w:szCs w:val="20"/>
              </w:rPr>
              <w:t>Installation Type</w:t>
            </w:r>
          </w:p>
        </w:tc>
        <w:tc>
          <w:tcPr>
            <w:tcW w:w="6565" w:type="dxa"/>
          </w:tcPr>
          <w:p w14:paraId="2B32F7DC" w14:textId="051AA700" w:rsidR="009A2332" w:rsidRPr="006E2D29" w:rsidRDefault="00373F36" w:rsidP="001874B4">
            <w:pPr>
              <w:rPr>
                <w:sz w:val="20"/>
                <w:szCs w:val="20"/>
              </w:rPr>
            </w:pPr>
            <w:r w:rsidRPr="00F62734">
              <w:rPr>
                <w:sz w:val="20"/>
              </w:rPr>
              <w:t>Deviation. Install type changed from Retro</w:t>
            </w:r>
            <w:bookmarkStart w:id="6" w:name="_GoBack"/>
            <w:bookmarkEnd w:id="6"/>
            <w:r w:rsidRPr="00F62734">
              <w:rPr>
                <w:sz w:val="20"/>
              </w:rPr>
              <w:t xml:space="preserve">-Commissioning (RC) to </w:t>
            </w:r>
            <w:r w:rsidRPr="00F62734">
              <w:rPr>
                <w:b/>
                <w:sz w:val="20"/>
              </w:rPr>
              <w:t>Retrofit Add-On (REA)</w:t>
            </w:r>
          </w:p>
        </w:tc>
      </w:tr>
      <w:tr w:rsidR="009A2332" w14:paraId="3CF006A0" w14:textId="77777777" w:rsidTr="006E2D29">
        <w:trPr>
          <w:trHeight w:val="576"/>
        </w:trPr>
        <w:tc>
          <w:tcPr>
            <w:tcW w:w="2785" w:type="dxa"/>
          </w:tcPr>
          <w:p w14:paraId="548E0861" w14:textId="7D5594CC" w:rsidR="009A2332" w:rsidRPr="006E2D29" w:rsidRDefault="009A2332" w:rsidP="009A2332">
            <w:pPr>
              <w:rPr>
                <w:sz w:val="20"/>
                <w:szCs w:val="20"/>
              </w:rPr>
            </w:pPr>
            <w:r w:rsidRPr="006E2D29">
              <w:rPr>
                <w:rStyle w:val="Strong"/>
                <w:rFonts w:asciiTheme="minorHAnsi" w:hAnsiTheme="minorHAnsi"/>
                <w:b w:val="0"/>
                <w:sz w:val="20"/>
                <w:szCs w:val="20"/>
              </w:rPr>
              <w:t>Delivery Mechanisms</w:t>
            </w:r>
          </w:p>
        </w:tc>
        <w:tc>
          <w:tcPr>
            <w:tcW w:w="6565" w:type="dxa"/>
          </w:tcPr>
          <w:p w14:paraId="0B6DD5B5" w14:textId="77777777" w:rsidR="0022255E" w:rsidRPr="006E2D29" w:rsidRDefault="0022255E" w:rsidP="006E2D29">
            <w:pPr>
              <w:pStyle w:val="ListParagraph"/>
              <w:numPr>
                <w:ilvl w:val="0"/>
                <w:numId w:val="37"/>
              </w:numPr>
              <w:ind w:left="340"/>
              <w:rPr>
                <w:sz w:val="20"/>
                <w:szCs w:val="20"/>
              </w:rPr>
            </w:pPr>
            <w:r w:rsidRPr="006E2D29">
              <w:rPr>
                <w:sz w:val="20"/>
                <w:szCs w:val="20"/>
              </w:rPr>
              <w:t>Financial Support: Direct Install</w:t>
            </w:r>
          </w:p>
          <w:p w14:paraId="11A2C3CD" w14:textId="6A854D64" w:rsidR="00373F36" w:rsidRPr="006E2D29" w:rsidRDefault="0022255E" w:rsidP="006E2D29">
            <w:pPr>
              <w:pStyle w:val="ListParagraph"/>
              <w:numPr>
                <w:ilvl w:val="0"/>
                <w:numId w:val="37"/>
              </w:numPr>
              <w:ind w:left="340"/>
              <w:rPr>
                <w:sz w:val="20"/>
                <w:szCs w:val="20"/>
              </w:rPr>
            </w:pPr>
            <w:r w:rsidRPr="006E2D29">
              <w:rPr>
                <w:sz w:val="20"/>
                <w:szCs w:val="20"/>
              </w:rPr>
              <w:t>Mid-Stream Programs: Mid-Stream Incentive</w:t>
            </w:r>
          </w:p>
          <w:p w14:paraId="1E7DEDF9" w14:textId="77777777" w:rsidR="00F553C0" w:rsidRPr="00F553C0" w:rsidRDefault="00F553C0" w:rsidP="00F553C0">
            <w:pPr>
              <w:rPr>
                <w:b/>
                <w:sz w:val="20"/>
              </w:rPr>
            </w:pPr>
            <w:r w:rsidRPr="00F553C0">
              <w:rPr>
                <w:sz w:val="20"/>
              </w:rPr>
              <w:t>Deviation from PG&amp;E, Adding:</w:t>
            </w:r>
          </w:p>
          <w:p w14:paraId="601F29D2" w14:textId="77777777" w:rsidR="00F553C0" w:rsidRPr="00F553C0" w:rsidRDefault="00F553C0" w:rsidP="00F553C0">
            <w:pPr>
              <w:pStyle w:val="ListParagraph"/>
              <w:numPr>
                <w:ilvl w:val="0"/>
                <w:numId w:val="44"/>
              </w:numPr>
              <w:rPr>
                <w:b/>
                <w:sz w:val="20"/>
              </w:rPr>
            </w:pPr>
            <w:r w:rsidRPr="00F553C0">
              <w:rPr>
                <w:b/>
                <w:sz w:val="20"/>
              </w:rPr>
              <w:t>Financial Support: Down-Stream Incentive – Deemed</w:t>
            </w:r>
          </w:p>
          <w:p w14:paraId="26943841" w14:textId="77777777" w:rsidR="00F553C0" w:rsidRPr="00F553C0" w:rsidRDefault="00F553C0" w:rsidP="00F553C0">
            <w:pPr>
              <w:pStyle w:val="ListParagraph"/>
              <w:numPr>
                <w:ilvl w:val="0"/>
                <w:numId w:val="44"/>
              </w:numPr>
              <w:rPr>
                <w:b/>
                <w:sz w:val="20"/>
              </w:rPr>
            </w:pPr>
            <w:r w:rsidRPr="00F553C0">
              <w:rPr>
                <w:b/>
                <w:sz w:val="20"/>
              </w:rPr>
              <w:t>Up-Stream Programs: Up-Stream Incentive</w:t>
            </w:r>
          </w:p>
          <w:p w14:paraId="04AE2B54" w14:textId="77777777" w:rsidR="00717CE9" w:rsidRDefault="00717CE9" w:rsidP="00717CE9">
            <w:pPr>
              <w:rPr>
                <w:sz w:val="20"/>
                <w:szCs w:val="20"/>
              </w:rPr>
            </w:pPr>
          </w:p>
          <w:p w14:paraId="67E45078" w14:textId="2A84BA3B" w:rsidR="00717CE9" w:rsidRPr="00717CE9" w:rsidRDefault="00717CE9" w:rsidP="00717CE9">
            <w:pPr>
              <w:rPr>
                <w:sz w:val="20"/>
                <w:szCs w:val="20"/>
              </w:rPr>
            </w:pPr>
            <w:r w:rsidRPr="00717CE9">
              <w:rPr>
                <w:sz w:val="20"/>
                <w:szCs w:val="20"/>
              </w:rPr>
              <w:t>For SCE, incentive methods include On-bill Finance/Loan - The program offers financing for the cost an efficient measure as part of the utility bill. This can be an add-on option to an existing program or can serve as an organizing principle for its own p</w:t>
            </w:r>
            <w:r>
              <w:rPr>
                <w:sz w:val="20"/>
                <w:szCs w:val="20"/>
              </w:rPr>
              <w:t xml:space="preserve">rogram. </w:t>
            </w:r>
          </w:p>
        </w:tc>
      </w:tr>
      <w:tr w:rsidR="009A2332" w14:paraId="09F7817D" w14:textId="77777777" w:rsidTr="006E2D29">
        <w:trPr>
          <w:trHeight w:val="576"/>
        </w:trPr>
        <w:tc>
          <w:tcPr>
            <w:tcW w:w="2785" w:type="dxa"/>
          </w:tcPr>
          <w:p w14:paraId="68DCF28E" w14:textId="573A4587" w:rsidR="009A2332" w:rsidRPr="006E2D29" w:rsidRDefault="009A2332" w:rsidP="009A2332">
            <w:pPr>
              <w:rPr>
                <w:sz w:val="20"/>
                <w:szCs w:val="20"/>
              </w:rPr>
            </w:pPr>
            <w:r w:rsidRPr="006E2D29">
              <w:rPr>
                <w:rStyle w:val="Strong"/>
                <w:rFonts w:asciiTheme="minorHAnsi" w:hAnsiTheme="minorHAnsi"/>
                <w:sz w:val="20"/>
                <w:szCs w:val="20"/>
              </w:rPr>
              <w:t>1.4.1 DEER Data</w:t>
            </w:r>
          </w:p>
        </w:tc>
        <w:tc>
          <w:tcPr>
            <w:tcW w:w="6565" w:type="dxa"/>
          </w:tcPr>
          <w:p w14:paraId="7F520E32" w14:textId="77777777" w:rsidR="009A2332" w:rsidRPr="006E2D29" w:rsidRDefault="009A2332" w:rsidP="009A2332">
            <w:pPr>
              <w:rPr>
                <w:sz w:val="20"/>
                <w:szCs w:val="20"/>
              </w:rPr>
            </w:pPr>
          </w:p>
        </w:tc>
      </w:tr>
      <w:tr w:rsidR="009A2332" w14:paraId="51073860" w14:textId="77777777" w:rsidTr="006E2D29">
        <w:trPr>
          <w:trHeight w:val="576"/>
        </w:trPr>
        <w:tc>
          <w:tcPr>
            <w:tcW w:w="2785" w:type="dxa"/>
          </w:tcPr>
          <w:p w14:paraId="07705888" w14:textId="718A29C7" w:rsidR="009A2332" w:rsidRPr="006E2D29" w:rsidRDefault="009A2332" w:rsidP="009A2332">
            <w:pPr>
              <w:rPr>
                <w:sz w:val="20"/>
                <w:szCs w:val="20"/>
              </w:rPr>
            </w:pPr>
            <w:r w:rsidRPr="006E2D29">
              <w:rPr>
                <w:rStyle w:val="Strong"/>
                <w:rFonts w:asciiTheme="minorHAnsi" w:hAnsiTheme="minorHAnsi"/>
                <w:b w:val="0"/>
                <w:sz w:val="20"/>
                <w:szCs w:val="20"/>
              </w:rPr>
              <w:t>Net-Gross-Ratio</w:t>
            </w:r>
          </w:p>
        </w:tc>
        <w:tc>
          <w:tcPr>
            <w:tcW w:w="6565" w:type="dxa"/>
          </w:tcPr>
          <w:p w14:paraId="015EE6BD" w14:textId="77777777" w:rsidR="00373F36" w:rsidRPr="00F62734" w:rsidRDefault="00373F36" w:rsidP="00373F36">
            <w:pPr>
              <w:rPr>
                <w:sz w:val="20"/>
              </w:rPr>
            </w:pPr>
            <w:r w:rsidRPr="00F62734">
              <w:rPr>
                <w:sz w:val="20"/>
              </w:rPr>
              <w:t>Deviating from PG&amp;E’s NTG Section.</w:t>
            </w:r>
          </w:p>
          <w:p w14:paraId="30C68933" w14:textId="77777777" w:rsidR="00373F36" w:rsidRPr="00F62734" w:rsidRDefault="00373F36" w:rsidP="00373F36">
            <w:pPr>
              <w:rPr>
                <w:sz w:val="20"/>
              </w:rPr>
            </w:pPr>
            <w:r w:rsidRPr="00F62734">
              <w:rPr>
                <w:sz w:val="20"/>
              </w:rPr>
              <w:t xml:space="preserve">All Non-Upstream NTG ID: </w:t>
            </w:r>
          </w:p>
          <w:p w14:paraId="4B8A2745" w14:textId="77777777" w:rsidR="00373F36" w:rsidRPr="00F62734" w:rsidRDefault="00373F36" w:rsidP="00373F36">
            <w:pPr>
              <w:pStyle w:val="ListParagraph"/>
              <w:numPr>
                <w:ilvl w:val="0"/>
                <w:numId w:val="43"/>
              </w:numPr>
              <w:rPr>
                <w:sz w:val="20"/>
              </w:rPr>
            </w:pPr>
            <w:proofErr w:type="spellStart"/>
            <w:r w:rsidRPr="00F62734">
              <w:rPr>
                <w:sz w:val="20"/>
              </w:rPr>
              <w:t>NonRes</w:t>
            </w:r>
            <w:proofErr w:type="spellEnd"/>
            <w:r w:rsidRPr="00F62734">
              <w:rPr>
                <w:sz w:val="20"/>
              </w:rPr>
              <w:t>-sAll-</w:t>
            </w:r>
            <w:proofErr w:type="spellStart"/>
            <w:r w:rsidRPr="00F62734">
              <w:rPr>
                <w:sz w:val="20"/>
              </w:rPr>
              <w:t>mHVAC</w:t>
            </w:r>
            <w:proofErr w:type="spellEnd"/>
            <w:r w:rsidRPr="00F62734">
              <w:rPr>
                <w:sz w:val="20"/>
              </w:rPr>
              <w:t>-RCA (NTGR: 0.73)</w:t>
            </w:r>
          </w:p>
          <w:p w14:paraId="0E115AD3" w14:textId="77777777" w:rsidR="00373F36" w:rsidRPr="00F62734" w:rsidRDefault="00373F36" w:rsidP="00373F36">
            <w:pPr>
              <w:rPr>
                <w:sz w:val="20"/>
              </w:rPr>
            </w:pPr>
          </w:p>
          <w:p w14:paraId="4AD5F6DE" w14:textId="77777777" w:rsidR="00373F36" w:rsidRPr="00F62734" w:rsidRDefault="00373F36" w:rsidP="00373F36">
            <w:pPr>
              <w:rPr>
                <w:sz w:val="20"/>
              </w:rPr>
            </w:pPr>
            <w:r w:rsidRPr="00F62734">
              <w:rPr>
                <w:sz w:val="20"/>
              </w:rPr>
              <w:t>Midstream &amp; Upstream NTG IDs:</w:t>
            </w:r>
          </w:p>
          <w:p w14:paraId="0D6C6E8E" w14:textId="77777777" w:rsidR="00373F36" w:rsidRPr="00F62734" w:rsidRDefault="00373F36" w:rsidP="00373F36">
            <w:pPr>
              <w:pStyle w:val="ListParagraph"/>
              <w:numPr>
                <w:ilvl w:val="0"/>
                <w:numId w:val="43"/>
              </w:numPr>
              <w:rPr>
                <w:sz w:val="20"/>
              </w:rPr>
            </w:pPr>
            <w:r w:rsidRPr="00F62734">
              <w:rPr>
                <w:sz w:val="20"/>
              </w:rPr>
              <w:t>Com-Default&gt;2yrs (NTGR: 0.60)</w:t>
            </w:r>
          </w:p>
          <w:p w14:paraId="13D9F124" w14:textId="77777777" w:rsidR="00373F36" w:rsidRPr="00F62734" w:rsidRDefault="00373F36" w:rsidP="00373F36">
            <w:pPr>
              <w:pStyle w:val="ListParagraph"/>
              <w:numPr>
                <w:ilvl w:val="0"/>
                <w:numId w:val="43"/>
              </w:numPr>
              <w:rPr>
                <w:sz w:val="20"/>
              </w:rPr>
            </w:pPr>
            <w:proofErr w:type="spellStart"/>
            <w:r w:rsidRPr="00F62734">
              <w:rPr>
                <w:sz w:val="20"/>
              </w:rPr>
              <w:t>Ind</w:t>
            </w:r>
            <w:proofErr w:type="spellEnd"/>
            <w:r w:rsidRPr="00F62734">
              <w:rPr>
                <w:sz w:val="20"/>
              </w:rPr>
              <w:t>-Default&gt;2yrs (NTGR: 0.60)</w:t>
            </w:r>
          </w:p>
          <w:p w14:paraId="2B04A45B" w14:textId="77777777" w:rsidR="00373F36" w:rsidRPr="00F62734" w:rsidRDefault="00373F36" w:rsidP="00373F36">
            <w:pPr>
              <w:pStyle w:val="ListParagraph"/>
              <w:numPr>
                <w:ilvl w:val="0"/>
                <w:numId w:val="43"/>
              </w:numPr>
              <w:rPr>
                <w:sz w:val="20"/>
              </w:rPr>
            </w:pPr>
            <w:proofErr w:type="spellStart"/>
            <w:r w:rsidRPr="00F62734">
              <w:rPr>
                <w:sz w:val="20"/>
              </w:rPr>
              <w:t>Agric</w:t>
            </w:r>
            <w:proofErr w:type="spellEnd"/>
            <w:r w:rsidRPr="00F62734">
              <w:rPr>
                <w:sz w:val="20"/>
              </w:rPr>
              <w:t>-Default&gt;2yrs (NTGR: 0.60)</w:t>
            </w:r>
          </w:p>
          <w:p w14:paraId="7C01181E" w14:textId="432DF5C1" w:rsidR="00051286" w:rsidRPr="00373F36" w:rsidRDefault="00051286" w:rsidP="009A2332">
            <w:pPr>
              <w:rPr>
                <w:sz w:val="20"/>
                <w:szCs w:val="20"/>
              </w:rPr>
            </w:pPr>
          </w:p>
        </w:tc>
      </w:tr>
      <w:tr w:rsidR="009A2332" w14:paraId="7A4E17C4" w14:textId="77777777" w:rsidTr="006E2D29">
        <w:trPr>
          <w:trHeight w:val="576"/>
        </w:trPr>
        <w:tc>
          <w:tcPr>
            <w:tcW w:w="2785" w:type="dxa"/>
          </w:tcPr>
          <w:p w14:paraId="08063215" w14:textId="5C719A0C" w:rsidR="009A2332" w:rsidRPr="006E2D29" w:rsidRDefault="009A2332" w:rsidP="009A2332">
            <w:pPr>
              <w:rPr>
                <w:sz w:val="20"/>
                <w:szCs w:val="20"/>
              </w:rPr>
            </w:pPr>
            <w:r w:rsidRPr="006E2D29">
              <w:rPr>
                <w:rStyle w:val="Strong"/>
                <w:rFonts w:asciiTheme="minorHAnsi" w:hAnsiTheme="minorHAnsi"/>
                <w:b w:val="0"/>
                <w:sz w:val="20"/>
                <w:szCs w:val="20"/>
              </w:rPr>
              <w:t>Effective and Remaining Useful Life</w:t>
            </w:r>
          </w:p>
        </w:tc>
        <w:tc>
          <w:tcPr>
            <w:tcW w:w="6565" w:type="dxa"/>
          </w:tcPr>
          <w:p w14:paraId="70BC13BC" w14:textId="5539B62B" w:rsidR="009A2332" w:rsidRPr="006E2D29" w:rsidRDefault="00373F36" w:rsidP="009A2332">
            <w:pPr>
              <w:rPr>
                <w:sz w:val="20"/>
                <w:szCs w:val="20"/>
              </w:rPr>
            </w:pPr>
            <w:r w:rsidRPr="00F62734">
              <w:rPr>
                <w:sz w:val="20"/>
              </w:rPr>
              <w:t xml:space="preserve">EUL ID: </w:t>
            </w:r>
            <w:proofErr w:type="spellStart"/>
            <w:r w:rsidRPr="00F62734">
              <w:rPr>
                <w:sz w:val="20"/>
              </w:rPr>
              <w:t>NonRes</w:t>
            </w:r>
            <w:proofErr w:type="spellEnd"/>
            <w:r w:rsidRPr="00F62734">
              <w:rPr>
                <w:sz w:val="20"/>
              </w:rPr>
              <w:t>-RCx-Operational (EUL: 3.0 / RUL: 1.0)</w:t>
            </w:r>
          </w:p>
        </w:tc>
      </w:tr>
      <w:tr w:rsidR="009A2332" w14:paraId="7C928286" w14:textId="77777777" w:rsidTr="006E2D29">
        <w:trPr>
          <w:trHeight w:val="576"/>
        </w:trPr>
        <w:tc>
          <w:tcPr>
            <w:tcW w:w="2785" w:type="dxa"/>
          </w:tcPr>
          <w:p w14:paraId="6ECE75DB" w14:textId="0D2FA7C9" w:rsidR="009A2332" w:rsidRPr="006E2D29" w:rsidRDefault="009A2332" w:rsidP="009A2332">
            <w:pPr>
              <w:rPr>
                <w:sz w:val="20"/>
                <w:szCs w:val="20"/>
              </w:rPr>
            </w:pPr>
            <w:r w:rsidRPr="006E2D29">
              <w:rPr>
                <w:rStyle w:val="Strong"/>
                <w:rFonts w:asciiTheme="minorHAnsi" w:hAnsiTheme="minorHAnsi"/>
                <w:sz w:val="20"/>
                <w:szCs w:val="20"/>
              </w:rPr>
              <w:lastRenderedPageBreak/>
              <w:t>Section 2. Calculation Methodology</w:t>
            </w:r>
          </w:p>
        </w:tc>
        <w:tc>
          <w:tcPr>
            <w:tcW w:w="6565" w:type="dxa"/>
          </w:tcPr>
          <w:p w14:paraId="018C407C" w14:textId="77777777" w:rsidR="009A2332" w:rsidRPr="006E2D29" w:rsidRDefault="009A2332" w:rsidP="009A2332">
            <w:pPr>
              <w:rPr>
                <w:sz w:val="20"/>
                <w:szCs w:val="20"/>
              </w:rPr>
            </w:pPr>
          </w:p>
        </w:tc>
      </w:tr>
      <w:tr w:rsidR="009A2332" w14:paraId="2060FD54" w14:textId="77777777" w:rsidTr="006E2D29">
        <w:trPr>
          <w:trHeight w:val="576"/>
        </w:trPr>
        <w:tc>
          <w:tcPr>
            <w:tcW w:w="2785" w:type="dxa"/>
          </w:tcPr>
          <w:p w14:paraId="768E3560" w14:textId="7844934C" w:rsidR="009A2332" w:rsidRPr="006E2D29" w:rsidRDefault="009A2332" w:rsidP="009A2332">
            <w:pPr>
              <w:rPr>
                <w:sz w:val="20"/>
                <w:szCs w:val="20"/>
              </w:rPr>
            </w:pPr>
            <w:r w:rsidRPr="006E2D29">
              <w:rPr>
                <w:rStyle w:val="Strong"/>
                <w:rFonts w:asciiTheme="minorHAnsi" w:hAnsiTheme="minorHAnsi"/>
                <w:b w:val="0"/>
                <w:sz w:val="20"/>
                <w:szCs w:val="20"/>
              </w:rPr>
              <w:t>Energy savings/Peak Demand Reduction – All Measures</w:t>
            </w:r>
          </w:p>
        </w:tc>
        <w:tc>
          <w:tcPr>
            <w:tcW w:w="6565" w:type="dxa"/>
          </w:tcPr>
          <w:p w14:paraId="23418560" w14:textId="729957B3" w:rsidR="005A02D4" w:rsidRPr="006E2D29" w:rsidRDefault="00DD38D2" w:rsidP="009A2332">
            <w:pPr>
              <w:rPr>
                <w:rFonts w:cstheme="minorHAnsi"/>
                <w:sz w:val="20"/>
                <w:szCs w:val="20"/>
              </w:rPr>
            </w:pPr>
            <w:r w:rsidRPr="006E2D29">
              <w:rPr>
                <w:sz w:val="20"/>
                <w:szCs w:val="20"/>
              </w:rPr>
              <w:t xml:space="preserve">Energy savings and demand reduction for the measures contained in this workpaper were estimated using </w:t>
            </w:r>
            <w:proofErr w:type="spellStart"/>
            <w:r w:rsidRPr="006E2D29">
              <w:rPr>
                <w:sz w:val="20"/>
                <w:szCs w:val="20"/>
              </w:rPr>
              <w:t>eQUEST</w:t>
            </w:r>
            <w:proofErr w:type="spellEnd"/>
            <w:r w:rsidRPr="006E2D29">
              <w:rPr>
                <w:sz w:val="20"/>
                <w:szCs w:val="20"/>
              </w:rPr>
              <w:t xml:space="preserve"> version 3.64.7130 energy modeling </w:t>
            </w:r>
            <w:r w:rsidR="007C5DA7">
              <w:rPr>
                <w:sz w:val="20"/>
                <w:szCs w:val="20"/>
              </w:rPr>
              <w:t>software</w:t>
            </w:r>
            <w:r w:rsidRPr="006E2D29">
              <w:rPr>
                <w:sz w:val="20"/>
                <w:szCs w:val="20"/>
              </w:rPr>
              <w:t xml:space="preserve">. </w:t>
            </w:r>
            <w:r w:rsidR="00C83531">
              <w:rPr>
                <w:sz w:val="20"/>
                <w:szCs w:val="20"/>
              </w:rPr>
              <w:t xml:space="preserve">DEER </w:t>
            </w:r>
            <w:r w:rsidRPr="006E2D29">
              <w:rPr>
                <w:sz w:val="20"/>
                <w:szCs w:val="20"/>
              </w:rPr>
              <w:t xml:space="preserve">2014, 2015, and 2017 </w:t>
            </w:r>
            <w:r w:rsidR="00C83531">
              <w:rPr>
                <w:sz w:val="20"/>
                <w:szCs w:val="20"/>
              </w:rPr>
              <w:t xml:space="preserve">prototypes </w:t>
            </w:r>
            <w:r w:rsidRPr="006E2D29">
              <w:rPr>
                <w:sz w:val="20"/>
                <w:szCs w:val="20"/>
              </w:rPr>
              <w:t xml:space="preserve">were generated using MASControl software for the </w:t>
            </w:r>
            <w:r w:rsidRPr="006E2D29">
              <w:rPr>
                <w:rFonts w:cstheme="minorHAnsi"/>
                <w:sz w:val="20"/>
                <w:szCs w:val="20"/>
              </w:rPr>
              <w:t>customer average (</w:t>
            </w:r>
            <w:proofErr w:type="spellStart"/>
            <w:r w:rsidRPr="006E2D29">
              <w:rPr>
                <w:rFonts w:cstheme="minorHAnsi"/>
                <w:sz w:val="20"/>
                <w:szCs w:val="20"/>
              </w:rPr>
              <w:t>CAv</w:t>
            </w:r>
            <w:proofErr w:type="spellEnd"/>
            <w:r w:rsidRPr="006E2D29">
              <w:rPr>
                <w:rFonts w:cstheme="minorHAnsi"/>
                <w:sz w:val="20"/>
                <w:szCs w:val="20"/>
              </w:rPr>
              <w:t>) cas</w:t>
            </w:r>
            <w:r w:rsidR="005A02D4" w:rsidRPr="006E2D29">
              <w:rPr>
                <w:rFonts w:cstheme="minorHAnsi"/>
                <w:sz w:val="20"/>
                <w:szCs w:val="20"/>
              </w:rPr>
              <w:t xml:space="preserve">es </w:t>
            </w:r>
            <w:r w:rsidR="00440F95" w:rsidRPr="001C387E">
              <w:rPr>
                <w:rFonts w:cstheme="minorHAnsi"/>
                <w:sz w:val="20"/>
                <w:szCs w:val="20"/>
              </w:rPr>
              <w:t>of the</w:t>
            </w:r>
            <w:r w:rsidR="005A02D4" w:rsidRPr="006E2D29">
              <w:rPr>
                <w:rFonts w:cstheme="minorHAnsi"/>
                <w:sz w:val="20"/>
                <w:szCs w:val="20"/>
              </w:rPr>
              <w:t xml:space="preserve"> following Tech IDs:</w:t>
            </w:r>
          </w:p>
          <w:p w14:paraId="3B94B88E" w14:textId="77777777" w:rsidR="005A02D4" w:rsidRPr="006E2D29" w:rsidRDefault="005A02D4" w:rsidP="006E2D29">
            <w:pPr>
              <w:pStyle w:val="ListParagraph"/>
              <w:numPr>
                <w:ilvl w:val="0"/>
                <w:numId w:val="38"/>
              </w:numPr>
              <w:ind w:left="342"/>
              <w:rPr>
                <w:sz w:val="20"/>
                <w:szCs w:val="20"/>
              </w:rPr>
            </w:pPr>
            <w:r w:rsidRPr="006E2D29">
              <w:rPr>
                <w:sz w:val="20"/>
                <w:szCs w:val="20"/>
              </w:rPr>
              <w:t>D08-NE-HVAC-airAC-SpltPkg-110to134kBtuh-11p5eer</w:t>
            </w:r>
          </w:p>
          <w:p w14:paraId="05A34D35" w14:textId="77777777" w:rsidR="005A02D4" w:rsidRPr="006E2D29" w:rsidRDefault="005A02D4" w:rsidP="006E2D29">
            <w:pPr>
              <w:pStyle w:val="ListParagraph"/>
              <w:numPr>
                <w:ilvl w:val="0"/>
                <w:numId w:val="38"/>
              </w:numPr>
              <w:ind w:left="342"/>
              <w:rPr>
                <w:sz w:val="20"/>
                <w:szCs w:val="20"/>
              </w:rPr>
            </w:pPr>
            <w:r w:rsidRPr="006E2D29">
              <w:rPr>
                <w:sz w:val="20"/>
                <w:szCs w:val="20"/>
              </w:rPr>
              <w:t>D08-NE-ILtg-Power-Exit-60pct, D08-NE-HVAC-airAC-SpltPkg-110to134kBtuh-11p5eer</w:t>
            </w:r>
          </w:p>
          <w:p w14:paraId="3E9F3A3B" w14:textId="77777777" w:rsidR="005A02D4" w:rsidRPr="006E2D29" w:rsidRDefault="005A02D4" w:rsidP="006E2D29">
            <w:pPr>
              <w:pStyle w:val="ListParagraph"/>
              <w:numPr>
                <w:ilvl w:val="0"/>
                <w:numId w:val="38"/>
              </w:numPr>
              <w:ind w:left="342"/>
              <w:rPr>
                <w:sz w:val="20"/>
                <w:szCs w:val="20"/>
              </w:rPr>
            </w:pPr>
            <w:r w:rsidRPr="006E2D29">
              <w:rPr>
                <w:sz w:val="20"/>
                <w:szCs w:val="20"/>
              </w:rPr>
              <w:t>D08-NE-ILtg-Power-Exit-60pct</w:t>
            </w:r>
          </w:p>
          <w:p w14:paraId="6ED8B8B8" w14:textId="77777777" w:rsidR="005A02D4" w:rsidRPr="006E2D29" w:rsidRDefault="005A02D4" w:rsidP="006E2D29">
            <w:pPr>
              <w:pStyle w:val="ListParagraph"/>
              <w:numPr>
                <w:ilvl w:val="0"/>
                <w:numId w:val="38"/>
              </w:numPr>
              <w:ind w:left="342"/>
              <w:rPr>
                <w:sz w:val="20"/>
                <w:szCs w:val="20"/>
              </w:rPr>
            </w:pPr>
            <w:r w:rsidRPr="006E2D29">
              <w:rPr>
                <w:sz w:val="20"/>
                <w:szCs w:val="20"/>
              </w:rPr>
              <w:t>D08-NE-HVAC-airHP-SpltPkg-110to134kBtuh-11p5eer-3p4cop</w:t>
            </w:r>
          </w:p>
          <w:p w14:paraId="2830DB44" w14:textId="77777777" w:rsidR="005A02D4" w:rsidRPr="006E2D29" w:rsidRDefault="005A02D4" w:rsidP="006E2D29">
            <w:pPr>
              <w:pStyle w:val="ListParagraph"/>
              <w:numPr>
                <w:ilvl w:val="0"/>
                <w:numId w:val="38"/>
              </w:numPr>
              <w:ind w:left="342"/>
              <w:rPr>
                <w:sz w:val="20"/>
                <w:szCs w:val="20"/>
              </w:rPr>
            </w:pPr>
            <w:r w:rsidRPr="006E2D29">
              <w:rPr>
                <w:sz w:val="20"/>
                <w:szCs w:val="20"/>
              </w:rPr>
              <w:t>D08-NE-HVAC-airHP-PkgEcono-55to64kBtuh-15p0seer-8p2hspf</w:t>
            </w:r>
          </w:p>
          <w:p w14:paraId="62B6BECA" w14:textId="59C131AE" w:rsidR="009A2332" w:rsidRPr="00355E28" w:rsidRDefault="005A02D4" w:rsidP="006E2D29">
            <w:pPr>
              <w:pStyle w:val="ListParagraph"/>
              <w:numPr>
                <w:ilvl w:val="0"/>
                <w:numId w:val="38"/>
              </w:numPr>
              <w:ind w:left="342"/>
              <w:rPr>
                <w:sz w:val="20"/>
                <w:szCs w:val="20"/>
              </w:rPr>
            </w:pPr>
            <w:r w:rsidRPr="006E2D29">
              <w:rPr>
                <w:sz w:val="20"/>
                <w:szCs w:val="20"/>
              </w:rPr>
              <w:t>D08-NE-HVAC-airAC-PVAV-240to759kBtuh-10p8eer</w:t>
            </w:r>
          </w:p>
          <w:p w14:paraId="3EF24508" w14:textId="77777777" w:rsidR="00525D9F" w:rsidRPr="006E2D29" w:rsidRDefault="00525D9F" w:rsidP="00525D9F">
            <w:pPr>
              <w:pStyle w:val="Reminder"/>
              <w:rPr>
                <w:rFonts w:asciiTheme="minorHAnsi" w:hAnsiTheme="minorHAnsi" w:cstheme="minorHAnsi"/>
                <w:i w:val="0"/>
                <w:color w:val="auto"/>
                <w:sz w:val="20"/>
                <w:szCs w:val="20"/>
              </w:rPr>
            </w:pPr>
            <w:r w:rsidRPr="006E2D29">
              <w:rPr>
                <w:rFonts w:asciiTheme="minorHAnsi" w:hAnsiTheme="minorHAnsi" w:cs="Arial"/>
                <w:i w:val="0"/>
                <w:color w:val="auto"/>
                <w:sz w:val="20"/>
                <w:szCs w:val="20"/>
              </w:rPr>
              <w:t xml:space="preserve">Except for motel and education relocatable classroom building type with heat pumps, DEER prototypes for AC and Heat Pump measures were created using the </w:t>
            </w:r>
            <w:r w:rsidRPr="006E2D29">
              <w:rPr>
                <w:rFonts w:asciiTheme="minorHAnsi" w:hAnsiTheme="minorHAnsi" w:cs="Arial"/>
                <w:color w:val="auto"/>
                <w:sz w:val="20"/>
                <w:szCs w:val="20"/>
              </w:rPr>
              <w:t>110to134kBtuh</w:t>
            </w:r>
            <w:r w:rsidRPr="006E2D29">
              <w:rPr>
                <w:rFonts w:asciiTheme="minorHAnsi" w:hAnsiTheme="minorHAnsi" w:cs="Arial"/>
                <w:i w:val="0"/>
                <w:color w:val="auto"/>
                <w:sz w:val="20"/>
                <w:szCs w:val="20"/>
              </w:rPr>
              <w:t xml:space="preserve"> cooling capacity range. Variable Volume AC units were created using </w:t>
            </w:r>
            <w:r w:rsidRPr="006E2D29">
              <w:rPr>
                <w:rFonts w:asciiTheme="minorHAnsi" w:hAnsiTheme="minorHAnsi" w:cs="Arial"/>
                <w:color w:val="auto"/>
                <w:sz w:val="20"/>
                <w:szCs w:val="20"/>
              </w:rPr>
              <w:t>240to759kBtuh</w:t>
            </w:r>
            <w:r w:rsidRPr="006E2D29">
              <w:rPr>
                <w:rFonts w:asciiTheme="minorHAnsi" w:hAnsiTheme="minorHAnsi" w:cs="Arial"/>
                <w:i w:val="0"/>
                <w:color w:val="auto"/>
                <w:sz w:val="20"/>
                <w:szCs w:val="20"/>
              </w:rPr>
              <w:t>.</w:t>
            </w:r>
            <w:r w:rsidRPr="006E2D29">
              <w:rPr>
                <w:rFonts w:asciiTheme="minorHAnsi" w:hAnsiTheme="minorHAnsi" w:cstheme="minorHAnsi"/>
                <w:i w:val="0"/>
                <w:color w:val="auto"/>
                <w:sz w:val="20"/>
                <w:szCs w:val="20"/>
              </w:rPr>
              <w:t xml:space="preserve"> The DEER prototypes were modified to create Damper Leakage prototypes, simulating outside and return air damper leakage and exhaust re-entrainment:</w:t>
            </w:r>
          </w:p>
          <w:p w14:paraId="6F4F1E58" w14:textId="77777777" w:rsidR="00525D9F" w:rsidRPr="006E2D29" w:rsidRDefault="00525D9F" w:rsidP="00525D9F">
            <w:pPr>
              <w:pStyle w:val="Reminder"/>
              <w:rPr>
                <w:rFonts w:asciiTheme="minorHAnsi" w:hAnsiTheme="minorHAnsi" w:cstheme="minorHAnsi"/>
                <w:i w:val="0"/>
                <w:color w:val="auto"/>
                <w:sz w:val="20"/>
                <w:szCs w:val="20"/>
              </w:rPr>
            </w:pPr>
            <w:r w:rsidRPr="006E2D29">
              <w:rPr>
                <w:rFonts w:asciiTheme="minorHAnsi" w:hAnsiTheme="minorHAnsi" w:cstheme="minorHAnsi"/>
                <w:i w:val="0"/>
                <w:color w:val="auto"/>
                <w:sz w:val="20"/>
                <w:szCs w:val="20"/>
              </w:rPr>
              <w:t xml:space="preserve">Min Outside Air: </w:t>
            </w:r>
            <w:r w:rsidRPr="006E2D29">
              <w:rPr>
                <w:rFonts w:asciiTheme="minorHAnsi" w:hAnsiTheme="minorHAnsi" w:cstheme="minorHAnsi"/>
                <w:i w:val="0"/>
                <w:color w:val="auto"/>
                <w:sz w:val="20"/>
                <w:szCs w:val="20"/>
                <w:u w:val="single"/>
              </w:rPr>
              <w:t>Varies</w:t>
            </w:r>
            <w:r w:rsidRPr="006E2D29">
              <w:rPr>
                <w:rFonts w:asciiTheme="minorHAnsi" w:hAnsiTheme="minorHAnsi" w:cstheme="minorHAnsi"/>
                <w:i w:val="0"/>
                <w:color w:val="auto"/>
                <w:sz w:val="20"/>
                <w:szCs w:val="20"/>
              </w:rPr>
              <w:t xml:space="preserve"> changed to </w:t>
            </w:r>
            <w:r w:rsidRPr="006E2D29">
              <w:rPr>
                <w:rFonts w:asciiTheme="minorHAnsi" w:hAnsiTheme="minorHAnsi" w:cstheme="minorHAnsi"/>
                <w:i w:val="0"/>
                <w:color w:val="auto"/>
                <w:sz w:val="20"/>
                <w:szCs w:val="20"/>
                <w:u w:val="single"/>
              </w:rPr>
              <w:t>20%</w:t>
            </w:r>
          </w:p>
          <w:p w14:paraId="029D3A1E" w14:textId="2E135922" w:rsidR="00525D9F" w:rsidRPr="006E2D29" w:rsidRDefault="00525D9F">
            <w:pPr>
              <w:pStyle w:val="Reminder"/>
              <w:rPr>
                <w:rFonts w:asciiTheme="minorHAnsi" w:hAnsiTheme="minorHAnsi" w:cstheme="minorHAnsi"/>
                <w:i w:val="0"/>
                <w:color w:val="auto"/>
                <w:sz w:val="20"/>
                <w:szCs w:val="20"/>
              </w:rPr>
            </w:pPr>
            <w:r w:rsidRPr="006E2D29">
              <w:rPr>
                <w:rFonts w:asciiTheme="minorHAnsi" w:hAnsiTheme="minorHAnsi" w:cstheme="minorHAnsi"/>
                <w:i w:val="0"/>
                <w:color w:val="auto"/>
                <w:sz w:val="20"/>
                <w:szCs w:val="20"/>
              </w:rPr>
              <w:t xml:space="preserve">Max Outside Air: </w:t>
            </w:r>
            <w:r w:rsidRPr="006E2D29">
              <w:rPr>
                <w:rFonts w:asciiTheme="minorHAnsi" w:hAnsiTheme="minorHAnsi" w:cstheme="minorHAnsi"/>
                <w:i w:val="0"/>
                <w:color w:val="auto"/>
                <w:sz w:val="20"/>
                <w:szCs w:val="20"/>
                <w:u w:val="single"/>
              </w:rPr>
              <w:t>100%</w:t>
            </w:r>
            <w:r w:rsidRPr="006E2D29">
              <w:rPr>
                <w:rFonts w:asciiTheme="minorHAnsi" w:hAnsiTheme="minorHAnsi" w:cstheme="minorHAnsi"/>
                <w:i w:val="0"/>
                <w:color w:val="auto"/>
                <w:sz w:val="20"/>
                <w:szCs w:val="20"/>
              </w:rPr>
              <w:t xml:space="preserve"> changed to </w:t>
            </w:r>
            <w:r w:rsidRPr="006E2D29">
              <w:rPr>
                <w:rFonts w:asciiTheme="minorHAnsi" w:hAnsiTheme="minorHAnsi" w:cstheme="minorHAnsi"/>
                <w:i w:val="0"/>
                <w:color w:val="auto"/>
                <w:sz w:val="20"/>
                <w:szCs w:val="20"/>
                <w:u w:val="single"/>
              </w:rPr>
              <w:t>70%</w:t>
            </w:r>
          </w:p>
          <w:p w14:paraId="64CB49B1" w14:textId="77777777" w:rsidR="00525D9F" w:rsidRPr="006E2D29" w:rsidRDefault="00525D9F" w:rsidP="00525D9F">
            <w:pPr>
              <w:pStyle w:val="Reminder"/>
              <w:rPr>
                <w:rFonts w:asciiTheme="minorHAnsi" w:hAnsiTheme="minorHAnsi" w:cstheme="minorHAnsi"/>
                <w:i w:val="0"/>
                <w:color w:val="auto"/>
                <w:sz w:val="20"/>
                <w:szCs w:val="20"/>
                <w:u w:val="single"/>
              </w:rPr>
            </w:pPr>
            <w:r w:rsidRPr="006E2D29">
              <w:rPr>
                <w:rFonts w:asciiTheme="minorHAnsi" w:hAnsiTheme="minorHAnsi" w:cstheme="minorHAnsi"/>
                <w:i w:val="0"/>
                <w:color w:val="auto"/>
                <w:sz w:val="20"/>
                <w:szCs w:val="20"/>
              </w:rPr>
              <w:t xml:space="preserve">Outside Air Control: </w:t>
            </w:r>
            <w:r w:rsidRPr="006E2D29">
              <w:rPr>
                <w:rFonts w:asciiTheme="minorHAnsi" w:hAnsiTheme="minorHAnsi" w:cstheme="minorHAnsi"/>
                <w:i w:val="0"/>
                <w:color w:val="auto"/>
                <w:sz w:val="20"/>
                <w:szCs w:val="20"/>
                <w:u w:val="single"/>
              </w:rPr>
              <w:t>Fixed</w:t>
            </w:r>
            <w:r w:rsidRPr="006E2D29">
              <w:rPr>
                <w:rFonts w:asciiTheme="minorHAnsi" w:hAnsiTheme="minorHAnsi" w:cstheme="minorHAnsi"/>
                <w:i w:val="0"/>
                <w:color w:val="auto"/>
                <w:sz w:val="20"/>
                <w:szCs w:val="20"/>
              </w:rPr>
              <w:t xml:space="preserve"> changed to </w:t>
            </w:r>
            <w:r w:rsidRPr="006E2D29">
              <w:rPr>
                <w:rFonts w:asciiTheme="minorHAnsi" w:hAnsiTheme="minorHAnsi" w:cstheme="minorHAnsi"/>
                <w:i w:val="0"/>
                <w:color w:val="auto"/>
                <w:sz w:val="20"/>
                <w:szCs w:val="20"/>
                <w:u w:val="single"/>
              </w:rPr>
              <w:t>OA Temp</w:t>
            </w:r>
          </w:p>
          <w:p w14:paraId="06FCAA26" w14:textId="23A24198" w:rsidR="00525D9F" w:rsidRDefault="00525D9F">
            <w:pPr>
              <w:rPr>
                <w:sz w:val="20"/>
                <w:szCs w:val="20"/>
              </w:rPr>
            </w:pPr>
          </w:p>
          <w:p w14:paraId="4373959D" w14:textId="1122C276" w:rsidR="00525D9F" w:rsidRDefault="00525D9F">
            <w:pPr>
              <w:rPr>
                <w:sz w:val="20"/>
                <w:szCs w:val="20"/>
              </w:rPr>
            </w:pPr>
            <w:r w:rsidRPr="00525D9F">
              <w:rPr>
                <w:sz w:val="20"/>
                <w:szCs w:val="20"/>
              </w:rPr>
              <w:t>The base case methodology begins with Damper Leakage prototypes and alters the models to simulate the fault representing HVAC units in an as-found condition</w:t>
            </w:r>
            <w:r>
              <w:rPr>
                <w:sz w:val="20"/>
                <w:szCs w:val="20"/>
              </w:rPr>
              <w:t>:</w:t>
            </w:r>
          </w:p>
          <w:p w14:paraId="35C4783E" w14:textId="07F15E97" w:rsidR="00525D9F" w:rsidRDefault="00B149A3">
            <w:pPr>
              <w:rPr>
                <w:sz w:val="20"/>
                <w:szCs w:val="20"/>
                <w:u w:val="single"/>
              </w:rPr>
            </w:pPr>
            <w:r>
              <w:rPr>
                <w:sz w:val="20"/>
                <w:szCs w:val="20"/>
              </w:rPr>
              <w:t xml:space="preserve">Fan Schedule: </w:t>
            </w:r>
            <w:r>
              <w:rPr>
                <w:sz w:val="20"/>
                <w:szCs w:val="20"/>
                <w:u w:val="single"/>
              </w:rPr>
              <w:t>Varies</w:t>
            </w:r>
            <w:r>
              <w:rPr>
                <w:sz w:val="20"/>
                <w:szCs w:val="20"/>
              </w:rPr>
              <w:t xml:space="preserve"> changed to </w:t>
            </w:r>
            <w:r w:rsidRPr="006E2D29">
              <w:rPr>
                <w:sz w:val="20"/>
                <w:szCs w:val="20"/>
                <w:u w:val="single"/>
              </w:rPr>
              <w:t>Hourly Report Schedule</w:t>
            </w:r>
          </w:p>
          <w:p w14:paraId="07638CF2" w14:textId="51EBB2F8" w:rsidR="00525D9F" w:rsidRDefault="00525D9F">
            <w:pPr>
              <w:rPr>
                <w:sz w:val="20"/>
                <w:szCs w:val="20"/>
              </w:rPr>
            </w:pPr>
          </w:p>
          <w:p w14:paraId="5A3DA3AB" w14:textId="54F948CE" w:rsidR="00B149A3" w:rsidRDefault="00B149A3">
            <w:pPr>
              <w:rPr>
                <w:sz w:val="20"/>
                <w:szCs w:val="20"/>
              </w:rPr>
            </w:pPr>
            <w:r>
              <w:rPr>
                <w:sz w:val="20"/>
                <w:szCs w:val="20"/>
              </w:rPr>
              <w:t xml:space="preserve">The base case sets the Hourly Report Schedule to ON for all hours, </w:t>
            </w:r>
            <w:r w:rsidRPr="00B149A3">
              <w:rPr>
                <w:sz w:val="20"/>
                <w:szCs w:val="20"/>
              </w:rPr>
              <w:t>resulting in 24 hours per day supply fan operation regardless of building occupancy.</w:t>
            </w:r>
          </w:p>
          <w:p w14:paraId="7A6ADF66" w14:textId="77777777" w:rsidR="00B149A3" w:rsidRPr="00355E28" w:rsidRDefault="00B149A3">
            <w:pPr>
              <w:rPr>
                <w:sz w:val="20"/>
                <w:szCs w:val="20"/>
              </w:rPr>
            </w:pPr>
          </w:p>
          <w:p w14:paraId="0E1ACD62" w14:textId="3FC7CFBC" w:rsidR="005A02D4" w:rsidRPr="006E2D29" w:rsidRDefault="005A02D4" w:rsidP="009A2332">
            <w:pPr>
              <w:rPr>
                <w:sz w:val="20"/>
                <w:szCs w:val="20"/>
              </w:rPr>
            </w:pPr>
            <w:r w:rsidRPr="00355E28">
              <w:rPr>
                <w:sz w:val="20"/>
                <w:szCs w:val="20"/>
              </w:rPr>
              <w:t>Details on the modifications to the baseline and measure case models are provided in Section 2 of</w:t>
            </w:r>
            <w:r w:rsidRPr="006E2D29">
              <w:rPr>
                <w:sz w:val="20"/>
                <w:szCs w:val="20"/>
              </w:rPr>
              <w:t xml:space="preserve"> PGE3PHVC157 R3.</w:t>
            </w:r>
          </w:p>
          <w:p w14:paraId="3834B3DF" w14:textId="0395CD78" w:rsidR="005A02D4" w:rsidRPr="006E2D29" w:rsidRDefault="005A02D4" w:rsidP="009A2332">
            <w:pPr>
              <w:rPr>
                <w:sz w:val="20"/>
                <w:szCs w:val="20"/>
              </w:rPr>
            </w:pPr>
          </w:p>
          <w:p w14:paraId="01B262B0" w14:textId="77777777" w:rsidR="0021312B" w:rsidRPr="00EE1FD5" w:rsidRDefault="0021312B" w:rsidP="0021312B">
            <w:pPr>
              <w:rPr>
                <w:rFonts w:cstheme="minorHAnsi"/>
                <w:sz w:val="20"/>
                <w:szCs w:val="20"/>
              </w:rPr>
            </w:pPr>
            <w:r w:rsidRPr="00EE1FD5">
              <w:rPr>
                <w:rFonts w:cstheme="minorHAnsi"/>
                <w:sz w:val="20"/>
                <w:szCs w:val="20"/>
              </w:rPr>
              <w:t xml:space="preserve">Peak demand calculations were calculated taking the average values of the hourly energy profiles from the models during the applicable DEER peak demand periods for each climate zone. </w:t>
            </w:r>
          </w:p>
          <w:p w14:paraId="75419654" w14:textId="77777777" w:rsidR="00742945" w:rsidRPr="00355E28" w:rsidRDefault="00742945" w:rsidP="009A2332">
            <w:pPr>
              <w:rPr>
                <w:sz w:val="20"/>
                <w:szCs w:val="20"/>
              </w:rPr>
            </w:pPr>
          </w:p>
          <w:p w14:paraId="70CC6E28" w14:textId="09E3CF56" w:rsidR="005A02D4" w:rsidRPr="006E2D29" w:rsidRDefault="00742945" w:rsidP="009A2332">
            <w:pPr>
              <w:rPr>
                <w:sz w:val="20"/>
                <w:szCs w:val="20"/>
              </w:rPr>
            </w:pPr>
            <w:r w:rsidRPr="006E2D29">
              <w:rPr>
                <w:sz w:val="20"/>
                <w:szCs w:val="20"/>
              </w:rPr>
              <w:t>See of Section 2 of PGE3PHVC157 R3 for more details.</w:t>
            </w:r>
          </w:p>
          <w:p w14:paraId="15DE09D8" w14:textId="77777777" w:rsidR="00742945" w:rsidRPr="006E2D29" w:rsidRDefault="00742945" w:rsidP="009A2332">
            <w:pPr>
              <w:rPr>
                <w:sz w:val="20"/>
                <w:szCs w:val="20"/>
              </w:rPr>
            </w:pPr>
          </w:p>
          <w:p w14:paraId="48A295FE" w14:textId="76D77730" w:rsidR="005A02D4" w:rsidRPr="006E2D29" w:rsidRDefault="00742945" w:rsidP="009A2332">
            <w:pPr>
              <w:rPr>
                <w:sz w:val="20"/>
                <w:szCs w:val="20"/>
              </w:rPr>
            </w:pPr>
            <w:r w:rsidRPr="006E2D29">
              <w:rPr>
                <w:sz w:val="20"/>
                <w:szCs w:val="20"/>
              </w:rPr>
              <w:t xml:space="preserve">Adjusted calculations are found in Attachment </w:t>
            </w:r>
            <w:r w:rsidR="00017021">
              <w:rPr>
                <w:sz w:val="20"/>
                <w:szCs w:val="20"/>
              </w:rPr>
              <w:t xml:space="preserve">1. </w:t>
            </w:r>
          </w:p>
        </w:tc>
      </w:tr>
      <w:tr w:rsidR="009A2332" w14:paraId="79416F6B" w14:textId="77777777" w:rsidTr="006E2D29">
        <w:trPr>
          <w:trHeight w:val="576"/>
        </w:trPr>
        <w:tc>
          <w:tcPr>
            <w:tcW w:w="2785" w:type="dxa"/>
          </w:tcPr>
          <w:p w14:paraId="63B2A37F" w14:textId="79D3BD2C" w:rsidR="009A2332" w:rsidRPr="006E2D29" w:rsidRDefault="009A2332" w:rsidP="009A2332">
            <w:pPr>
              <w:rPr>
                <w:sz w:val="20"/>
                <w:szCs w:val="20"/>
              </w:rPr>
            </w:pPr>
            <w:r w:rsidRPr="006E2D29">
              <w:rPr>
                <w:rStyle w:val="Strong"/>
                <w:rFonts w:asciiTheme="minorHAnsi" w:hAnsiTheme="minorHAnsi"/>
                <w:sz w:val="20"/>
                <w:szCs w:val="20"/>
              </w:rPr>
              <w:t>Section 3. Load Shapes</w:t>
            </w:r>
          </w:p>
        </w:tc>
        <w:tc>
          <w:tcPr>
            <w:tcW w:w="6565" w:type="dxa"/>
          </w:tcPr>
          <w:p w14:paraId="4DC39CFB" w14:textId="77777777" w:rsidR="009A70A9" w:rsidRPr="006E2D29" w:rsidRDefault="009A70A9" w:rsidP="009A2332">
            <w:pPr>
              <w:rPr>
                <w:sz w:val="20"/>
                <w:szCs w:val="20"/>
              </w:rPr>
            </w:pPr>
            <w:proofErr w:type="spellStart"/>
            <w:r w:rsidRPr="006E2D29">
              <w:rPr>
                <w:sz w:val="20"/>
                <w:szCs w:val="20"/>
              </w:rPr>
              <w:t>DEER:HVAC_Split-Package_AC</w:t>
            </w:r>
            <w:proofErr w:type="spellEnd"/>
          </w:p>
          <w:p w14:paraId="573722DD" w14:textId="6C3F26E2" w:rsidR="009A2332" w:rsidRPr="006E2D29" w:rsidRDefault="009A70A9" w:rsidP="009A2332">
            <w:pPr>
              <w:rPr>
                <w:sz w:val="20"/>
                <w:szCs w:val="20"/>
              </w:rPr>
            </w:pPr>
            <w:proofErr w:type="spellStart"/>
            <w:r w:rsidRPr="006E2D29">
              <w:rPr>
                <w:sz w:val="20"/>
                <w:szCs w:val="20"/>
              </w:rPr>
              <w:t>DEER:HVAC_Split-Package_HP</w:t>
            </w:r>
            <w:proofErr w:type="spellEnd"/>
          </w:p>
        </w:tc>
      </w:tr>
      <w:tr w:rsidR="009A2332" w14:paraId="0E2DA162" w14:textId="77777777" w:rsidTr="006E2D29">
        <w:trPr>
          <w:trHeight w:val="576"/>
        </w:trPr>
        <w:tc>
          <w:tcPr>
            <w:tcW w:w="2785" w:type="dxa"/>
          </w:tcPr>
          <w:p w14:paraId="17E265C7" w14:textId="4B0D36D9" w:rsidR="009A2332" w:rsidRPr="006E2D29" w:rsidRDefault="009A2332" w:rsidP="009A2332">
            <w:pPr>
              <w:rPr>
                <w:sz w:val="20"/>
                <w:szCs w:val="20"/>
              </w:rPr>
            </w:pPr>
            <w:r w:rsidRPr="006E2D29">
              <w:rPr>
                <w:rStyle w:val="Strong"/>
                <w:rFonts w:asciiTheme="minorHAnsi" w:hAnsiTheme="minorHAnsi"/>
                <w:sz w:val="20"/>
                <w:szCs w:val="20"/>
              </w:rPr>
              <w:t>Section 4. Costs</w:t>
            </w:r>
          </w:p>
        </w:tc>
        <w:tc>
          <w:tcPr>
            <w:tcW w:w="6565" w:type="dxa"/>
          </w:tcPr>
          <w:p w14:paraId="636754D0" w14:textId="77777777" w:rsidR="009A2332" w:rsidRPr="006E2D29" w:rsidRDefault="009A2332" w:rsidP="009A2332">
            <w:pPr>
              <w:rPr>
                <w:sz w:val="20"/>
                <w:szCs w:val="20"/>
              </w:rPr>
            </w:pPr>
          </w:p>
        </w:tc>
      </w:tr>
      <w:tr w:rsidR="009A2332" w14:paraId="00EA9279" w14:textId="77777777" w:rsidTr="006E2D29">
        <w:trPr>
          <w:trHeight w:val="576"/>
        </w:trPr>
        <w:tc>
          <w:tcPr>
            <w:tcW w:w="2785" w:type="dxa"/>
          </w:tcPr>
          <w:p w14:paraId="448F5A7F" w14:textId="54FDF208" w:rsidR="009A2332" w:rsidRPr="006E2D29" w:rsidRDefault="009A2332" w:rsidP="009A2332">
            <w:pPr>
              <w:rPr>
                <w:sz w:val="20"/>
                <w:szCs w:val="20"/>
              </w:rPr>
            </w:pPr>
            <w:r w:rsidRPr="006E2D29">
              <w:rPr>
                <w:rStyle w:val="Strong"/>
                <w:rFonts w:asciiTheme="minorHAnsi" w:hAnsiTheme="minorHAnsi"/>
                <w:sz w:val="20"/>
                <w:szCs w:val="20"/>
              </w:rPr>
              <w:lastRenderedPageBreak/>
              <w:t>Section 4.1 Base and Measure Costs</w:t>
            </w:r>
          </w:p>
        </w:tc>
        <w:tc>
          <w:tcPr>
            <w:tcW w:w="6565" w:type="dxa"/>
          </w:tcPr>
          <w:p w14:paraId="4A8F9241" w14:textId="3A5596B7" w:rsidR="009A2332" w:rsidRPr="006E2D29" w:rsidRDefault="009A70A9" w:rsidP="009A2332">
            <w:pPr>
              <w:rPr>
                <w:sz w:val="20"/>
                <w:szCs w:val="20"/>
              </w:rPr>
            </w:pPr>
            <w:r w:rsidRPr="006E2D29">
              <w:rPr>
                <w:sz w:val="20"/>
                <w:szCs w:val="20"/>
              </w:rPr>
              <w:t xml:space="preserve">Please refer to Attachment #1 Calculation </w:t>
            </w:r>
            <w:r w:rsidR="00017021">
              <w:rPr>
                <w:sz w:val="20"/>
                <w:szCs w:val="20"/>
              </w:rPr>
              <w:t>for</w:t>
            </w:r>
            <w:r w:rsidRPr="006E2D29">
              <w:rPr>
                <w:sz w:val="20"/>
                <w:szCs w:val="20"/>
              </w:rPr>
              <w:t xml:space="preserve"> detailed baseline and measure costs. Details of the changes are described below in the Costs section.</w:t>
            </w:r>
          </w:p>
        </w:tc>
      </w:tr>
      <w:tr w:rsidR="00DD38D2" w14:paraId="3A76B5D7" w14:textId="77777777" w:rsidTr="006E2D29">
        <w:trPr>
          <w:trHeight w:val="576"/>
        </w:trPr>
        <w:tc>
          <w:tcPr>
            <w:tcW w:w="2785" w:type="dxa"/>
          </w:tcPr>
          <w:p w14:paraId="71D5F97A" w14:textId="4A102F72" w:rsidR="00DD38D2" w:rsidRPr="006E2D29" w:rsidRDefault="00DD38D2" w:rsidP="00DD38D2">
            <w:pPr>
              <w:rPr>
                <w:sz w:val="20"/>
                <w:szCs w:val="20"/>
              </w:rPr>
            </w:pPr>
            <w:r w:rsidRPr="006E2D29">
              <w:rPr>
                <w:rStyle w:val="Strong"/>
                <w:rFonts w:asciiTheme="minorHAnsi" w:hAnsiTheme="minorHAnsi"/>
                <w:sz w:val="20"/>
                <w:szCs w:val="20"/>
              </w:rPr>
              <w:t>Base Cost</w:t>
            </w:r>
          </w:p>
        </w:tc>
        <w:tc>
          <w:tcPr>
            <w:tcW w:w="6565" w:type="dxa"/>
          </w:tcPr>
          <w:p w14:paraId="38D0B9DA" w14:textId="134EB425" w:rsidR="00DD38D2" w:rsidRPr="006E2D29" w:rsidRDefault="007C5DA7">
            <w:pPr>
              <w:rPr>
                <w:sz w:val="20"/>
                <w:szCs w:val="20"/>
              </w:rPr>
            </w:pPr>
            <w:r w:rsidRPr="007C5DA7">
              <w:rPr>
                <w:sz w:val="20"/>
                <w:szCs w:val="20"/>
              </w:rPr>
              <w:t>For all solution codes, the base case is the customer’s existing equipment; therefore, the base case cost is $0.00.</w:t>
            </w:r>
          </w:p>
        </w:tc>
      </w:tr>
      <w:tr w:rsidR="00DD38D2" w14:paraId="37487D74" w14:textId="77777777" w:rsidTr="006E2D29">
        <w:trPr>
          <w:trHeight w:val="576"/>
        </w:trPr>
        <w:tc>
          <w:tcPr>
            <w:tcW w:w="2785" w:type="dxa"/>
          </w:tcPr>
          <w:p w14:paraId="3CAB1086" w14:textId="153EEBAC" w:rsidR="00DD38D2" w:rsidRPr="00DD38D2" w:rsidRDefault="00DD38D2" w:rsidP="00DD38D2">
            <w:r w:rsidRPr="006E2D29">
              <w:rPr>
                <w:rStyle w:val="Strong"/>
                <w:rFonts w:asciiTheme="minorHAnsi" w:hAnsiTheme="minorHAnsi"/>
                <w:szCs w:val="22"/>
              </w:rPr>
              <w:t>Measure Cost</w:t>
            </w:r>
          </w:p>
        </w:tc>
        <w:tc>
          <w:tcPr>
            <w:tcW w:w="6565" w:type="dxa"/>
          </w:tcPr>
          <w:p w14:paraId="1CBB971F" w14:textId="77777777" w:rsidR="00DD38D2" w:rsidRDefault="007C5DA7" w:rsidP="00DD38D2">
            <w:pPr>
              <w:rPr>
                <w:sz w:val="20"/>
                <w:szCs w:val="20"/>
              </w:rPr>
            </w:pPr>
            <w:r w:rsidRPr="006E2D29">
              <w:rPr>
                <w:sz w:val="20"/>
                <w:szCs w:val="20"/>
              </w:rPr>
              <w:t>For all solution codes</w:t>
            </w:r>
            <w:r>
              <w:rPr>
                <w:sz w:val="20"/>
                <w:szCs w:val="20"/>
              </w:rPr>
              <w:t>:</w:t>
            </w:r>
          </w:p>
          <w:p w14:paraId="63A135E9" w14:textId="27487980" w:rsidR="007C5DA7" w:rsidRPr="006E2D29" w:rsidRDefault="007C5DA7" w:rsidP="007C5DA7">
            <w:pPr>
              <w:rPr>
                <w:sz w:val="20"/>
                <w:szCs w:val="20"/>
              </w:rPr>
            </w:pPr>
            <w:r w:rsidRPr="006E2D29">
              <w:rPr>
                <w:sz w:val="20"/>
                <w:szCs w:val="20"/>
              </w:rPr>
              <w:t>Material: $0.00</w:t>
            </w:r>
          </w:p>
          <w:p w14:paraId="3A9E0795" w14:textId="23E121E0" w:rsidR="007C5DA7" w:rsidRPr="006E2D29" w:rsidRDefault="007C5DA7" w:rsidP="007C5DA7">
            <w:pPr>
              <w:rPr>
                <w:sz w:val="20"/>
                <w:szCs w:val="20"/>
              </w:rPr>
            </w:pPr>
            <w:r w:rsidRPr="006E2D29">
              <w:rPr>
                <w:sz w:val="20"/>
                <w:szCs w:val="20"/>
              </w:rPr>
              <w:t>Labor: $2.93/Ton</w:t>
            </w:r>
          </w:p>
          <w:p w14:paraId="5B95B419" w14:textId="0B6C37AC" w:rsidR="007C5DA7" w:rsidRPr="006E2D29" w:rsidRDefault="007C5DA7" w:rsidP="007C5DA7">
            <w:pPr>
              <w:rPr>
                <w:sz w:val="20"/>
                <w:szCs w:val="20"/>
              </w:rPr>
            </w:pPr>
            <w:r w:rsidRPr="006E2D29">
              <w:rPr>
                <w:sz w:val="20"/>
                <w:szCs w:val="20"/>
              </w:rPr>
              <w:t>Total: $2.93/Ton</w:t>
            </w:r>
          </w:p>
          <w:p w14:paraId="09A5C378" w14:textId="4AA450C6" w:rsidR="007C5DA7" w:rsidRPr="006E2D29" w:rsidRDefault="007C5DA7" w:rsidP="00DD38D2">
            <w:pPr>
              <w:rPr>
                <w:sz w:val="20"/>
                <w:szCs w:val="20"/>
              </w:rPr>
            </w:pPr>
          </w:p>
        </w:tc>
      </w:tr>
    </w:tbl>
    <w:p w14:paraId="31A3A294" w14:textId="77777777" w:rsidR="009A2332" w:rsidRPr="00A20520" w:rsidRDefault="009A2332" w:rsidP="009A2332"/>
    <w:p w14:paraId="03B596AC" w14:textId="77777777" w:rsidR="00B149A3" w:rsidRDefault="00B149A3" w:rsidP="00B149A3">
      <w:pPr>
        <w:rPr>
          <w:b/>
          <w:szCs w:val="20"/>
        </w:rPr>
      </w:pPr>
      <w:r>
        <w:rPr>
          <w:b/>
          <w:szCs w:val="20"/>
        </w:rPr>
        <w:t>Savings and Calculation Methodology</w:t>
      </w:r>
    </w:p>
    <w:p w14:paraId="6861E500" w14:textId="77777777" w:rsidR="00B149A3" w:rsidRDefault="00B149A3" w:rsidP="00B149A3"/>
    <w:p w14:paraId="0E9B2AC3" w14:textId="77777777" w:rsidR="00B149A3" w:rsidRDefault="00B149A3" w:rsidP="00B149A3">
      <w:pPr>
        <w:rPr>
          <w:rFonts w:cstheme="minorHAnsi"/>
          <w:szCs w:val="22"/>
        </w:rPr>
      </w:pPr>
      <w:r>
        <w:rPr>
          <w:rFonts w:cstheme="minorHAnsi"/>
          <w:szCs w:val="22"/>
        </w:rPr>
        <w:t>This short form made no changes to the adopted PGE savings.</w:t>
      </w:r>
    </w:p>
    <w:p w14:paraId="71C434AF" w14:textId="77777777" w:rsidR="00B149A3" w:rsidRDefault="00B149A3" w:rsidP="00B149A3">
      <w:pPr>
        <w:rPr>
          <w:rFonts w:cstheme="minorHAnsi"/>
          <w:szCs w:val="22"/>
        </w:rPr>
      </w:pPr>
    </w:p>
    <w:p w14:paraId="0F26001C" w14:textId="77777777" w:rsidR="00B149A3" w:rsidRPr="000720DD" w:rsidRDefault="00B149A3" w:rsidP="00B149A3">
      <w:pPr>
        <w:rPr>
          <w:b/>
          <w:szCs w:val="20"/>
        </w:rPr>
      </w:pPr>
      <w:r w:rsidRPr="000720DD">
        <w:rPr>
          <w:b/>
          <w:szCs w:val="20"/>
        </w:rPr>
        <w:t>Costs</w:t>
      </w:r>
    </w:p>
    <w:p w14:paraId="3FDEE041" w14:textId="77777777" w:rsidR="00B149A3" w:rsidRDefault="00B149A3" w:rsidP="00B149A3"/>
    <w:p w14:paraId="644DEC49" w14:textId="77777777" w:rsidR="00B149A3" w:rsidRPr="000720DD" w:rsidRDefault="00B149A3" w:rsidP="00B149A3">
      <w:pPr>
        <w:rPr>
          <w:rFonts w:cstheme="minorHAnsi"/>
          <w:szCs w:val="22"/>
        </w:rPr>
      </w:pPr>
      <w:r>
        <w:rPr>
          <w:rFonts w:cstheme="minorHAnsi"/>
          <w:szCs w:val="22"/>
        </w:rPr>
        <w:t>This short form made no changes to the adopted PGE costs.</w:t>
      </w:r>
    </w:p>
    <w:p w14:paraId="1C6EA216" w14:textId="77777777" w:rsidR="00B149A3" w:rsidRPr="009A2332" w:rsidRDefault="00B149A3" w:rsidP="00B149A3"/>
    <w:p w14:paraId="5B4CD93E" w14:textId="77777777" w:rsidR="00B149A3" w:rsidRDefault="00B149A3" w:rsidP="00B149A3">
      <w:pPr>
        <w:rPr>
          <w:b/>
          <w:szCs w:val="20"/>
        </w:rPr>
      </w:pPr>
      <w:r>
        <w:rPr>
          <w:b/>
          <w:szCs w:val="20"/>
        </w:rPr>
        <w:t>Attachments:</w:t>
      </w:r>
    </w:p>
    <w:p w14:paraId="32E327F5" w14:textId="77777777" w:rsidR="00BA3841" w:rsidRDefault="00BA3841" w:rsidP="00B149A3">
      <w:pPr>
        <w:rPr>
          <w:b/>
          <w:szCs w:val="20"/>
        </w:rPr>
      </w:pPr>
    </w:p>
    <w:p w14:paraId="37E9FBDB" w14:textId="5C0C1EBE" w:rsidR="00E16609" w:rsidRPr="00F62734" w:rsidRDefault="00440F95" w:rsidP="006E2D29">
      <w:pPr>
        <w:pStyle w:val="ListParagraph"/>
        <w:numPr>
          <w:ilvl w:val="0"/>
          <w:numId w:val="39"/>
        </w:numPr>
        <w:rPr>
          <w:b/>
          <w:sz w:val="24"/>
          <w:szCs w:val="20"/>
        </w:rPr>
      </w:pPr>
      <w:r w:rsidRPr="00F62734">
        <w:t>PGE3PHVC157</w:t>
      </w:r>
      <w:r w:rsidR="00373F36" w:rsidRPr="00F62734">
        <w:t>.</w:t>
      </w:r>
      <w:r w:rsidR="00E413BB" w:rsidRPr="00F62734">
        <w:t>1</w:t>
      </w:r>
      <w:r w:rsidR="00DF4113" w:rsidRPr="00F62734">
        <w:t>_A1</w:t>
      </w:r>
      <w:r w:rsidR="00F62734">
        <w:t xml:space="preserve"> - </w:t>
      </w:r>
      <w:r w:rsidRPr="00F62734">
        <w:t>Calc Templates</w:t>
      </w:r>
      <w:bookmarkStart w:id="7" w:name="_Toc214003099"/>
      <w:bookmarkEnd w:id="1"/>
      <w:bookmarkEnd w:id="7"/>
      <w:r w:rsidR="00F62734">
        <w:t>_2018</w:t>
      </w:r>
    </w:p>
    <w:sectPr w:rsidR="00E16609" w:rsidRPr="00F62734" w:rsidSect="008F14E9">
      <w:footerReference w:type="default" r:id="rId9"/>
      <w:pgSz w:w="12240" w:h="15840"/>
      <w:pgMar w:top="1440" w:right="1440" w:bottom="1557" w:left="1440" w:header="720" w:footer="720" w:gutter="0"/>
      <w:pgNumType w:fmt="lowerRoman"/>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E42EE6" w14:textId="77777777" w:rsidR="007B0373" w:rsidRDefault="007B0373" w:rsidP="00447D6E">
      <w:r>
        <w:separator/>
      </w:r>
    </w:p>
    <w:p w14:paraId="2AE813D5" w14:textId="77777777" w:rsidR="007B0373" w:rsidRDefault="007B0373"/>
  </w:endnote>
  <w:endnote w:type="continuationSeparator" w:id="0">
    <w:p w14:paraId="527E75E5" w14:textId="77777777" w:rsidR="007B0373" w:rsidRDefault="007B0373" w:rsidP="00447D6E">
      <w:r>
        <w:continuationSeparator/>
      </w:r>
    </w:p>
    <w:p w14:paraId="587DB41F" w14:textId="77777777" w:rsidR="007B0373" w:rsidRDefault="007B03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2E974584" w:rsidR="00F30167" w:rsidRPr="009500DC" w:rsidRDefault="007B0373"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4F53E8">
          <w:rPr>
            <w:rFonts w:cstheme="minorHAnsi"/>
            <w:b/>
            <w:sz w:val="20"/>
            <w:szCs w:val="20"/>
          </w:rPr>
          <w:t>PGE3PHVC157</w:t>
        </w:r>
      </w:sdtContent>
    </w:sdt>
    <w:r w:rsidR="00F30167">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E413BB">
          <w:rPr>
            <w:rFonts w:cstheme="minorHAnsi"/>
            <w:b/>
            <w:sz w:val="20"/>
            <w:szCs w:val="20"/>
          </w:rPr>
          <w:t>Revision 1</w:t>
        </w:r>
      </w:sdtContent>
    </w:sdt>
    <w:r w:rsidR="00F30167" w:rsidRPr="009500DC">
      <w:rPr>
        <w:rFonts w:cstheme="minorHAnsi"/>
        <w:b/>
        <w:sz w:val="20"/>
        <w:szCs w:val="20"/>
      </w:rPr>
      <w:tab/>
    </w:r>
    <w:r w:rsidR="00F30167" w:rsidRPr="009500DC">
      <w:rPr>
        <w:rFonts w:cstheme="minorHAnsi"/>
        <w:b/>
        <w:sz w:val="20"/>
        <w:szCs w:val="20"/>
      </w:rPr>
      <w:fldChar w:fldCharType="begin"/>
    </w:r>
    <w:r w:rsidR="00F30167" w:rsidRPr="009500DC">
      <w:rPr>
        <w:rFonts w:cstheme="minorHAnsi"/>
        <w:b/>
        <w:sz w:val="20"/>
        <w:szCs w:val="20"/>
      </w:rPr>
      <w:instrText xml:space="preserve"> PAGE   \* MERGEFORMAT </w:instrText>
    </w:r>
    <w:r w:rsidR="00F30167" w:rsidRPr="009500DC">
      <w:rPr>
        <w:rFonts w:cstheme="minorHAnsi"/>
        <w:b/>
        <w:sz w:val="20"/>
        <w:szCs w:val="20"/>
      </w:rPr>
      <w:fldChar w:fldCharType="separate"/>
    </w:r>
    <w:r w:rsidR="00F553C0">
      <w:rPr>
        <w:rFonts w:cstheme="minorHAnsi"/>
        <w:b/>
        <w:noProof/>
        <w:sz w:val="20"/>
        <w:szCs w:val="20"/>
      </w:rPr>
      <w:t>ii</w:t>
    </w:r>
    <w:r w:rsidR="00F30167" w:rsidRPr="009500DC">
      <w:rPr>
        <w:rFonts w:cstheme="minorHAnsi"/>
        <w:b/>
        <w:noProof/>
        <w:sz w:val="20"/>
        <w:szCs w:val="20"/>
      </w:rPr>
      <w:fldChar w:fldCharType="end"/>
    </w:r>
    <w:r w:rsidR="00F30167"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2-27T00:00:00Z">
          <w:dateFormat w:val="MMMM d, yyyy"/>
          <w:lid w:val="en-US"/>
          <w:storeMappedDataAs w:val="dateTime"/>
          <w:calendar w:val="gregorian"/>
        </w:date>
      </w:sdtPr>
      <w:sdtEndPr/>
      <w:sdtContent>
        <w:r w:rsidR="00FD49A4">
          <w:rPr>
            <w:rFonts w:cstheme="minorHAnsi"/>
            <w:b/>
            <w:sz w:val="20"/>
            <w:szCs w:val="20"/>
          </w:rPr>
          <w:t xml:space="preserve">December </w:t>
        </w:r>
        <w:r w:rsidR="00A77C6B">
          <w:rPr>
            <w:rFonts w:cstheme="minorHAnsi"/>
            <w:b/>
            <w:sz w:val="20"/>
            <w:szCs w:val="20"/>
          </w:rPr>
          <w:t>2</w:t>
        </w:r>
        <w:r w:rsidR="00DF4113">
          <w:rPr>
            <w:rFonts w:cstheme="minorHAnsi"/>
            <w:b/>
            <w:sz w:val="20"/>
            <w:szCs w:val="20"/>
          </w:rPr>
          <w:t>7</w:t>
        </w:r>
        <w:r w:rsidR="00FD49A4">
          <w:rPr>
            <w:rFonts w:cstheme="minorHAnsi"/>
            <w:b/>
            <w:sz w:val="20"/>
            <w:szCs w:val="20"/>
          </w:rPr>
          <w:t>, 2018</w:t>
        </w:r>
      </w:sdtContent>
    </w:sdt>
  </w:p>
  <w:p w14:paraId="43C07EA5" w14:textId="544E4323" w:rsidR="00F30167" w:rsidRPr="009500DC" w:rsidRDefault="007B0373"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F30167">
          <w:rPr>
            <w:rFonts w:cstheme="minorHAnsi"/>
            <w:b/>
            <w:sz w:val="20"/>
            <w:szCs w:val="20"/>
          </w:rPr>
          <w:t>Southern California Edison</w:t>
        </w:r>
      </w:sdtContent>
    </w:sdt>
  </w:p>
  <w:p w14:paraId="4AC7586E" w14:textId="77777777" w:rsidR="00F30167" w:rsidRDefault="00F30167"/>
  <w:p w14:paraId="5C9861A8" w14:textId="77777777" w:rsidR="00F30167" w:rsidRDefault="00F3016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8703F7" w14:textId="77777777" w:rsidR="007B0373" w:rsidRDefault="007B0373" w:rsidP="00447D6E">
      <w:r>
        <w:separator/>
      </w:r>
    </w:p>
    <w:p w14:paraId="56AFBF25" w14:textId="77777777" w:rsidR="007B0373" w:rsidRDefault="007B0373"/>
  </w:footnote>
  <w:footnote w:type="continuationSeparator" w:id="0">
    <w:p w14:paraId="7E5C7CED" w14:textId="77777777" w:rsidR="007B0373" w:rsidRDefault="007B0373" w:rsidP="00447D6E">
      <w:r>
        <w:continuationSeparator/>
      </w:r>
    </w:p>
    <w:p w14:paraId="3D317E18" w14:textId="77777777" w:rsidR="007B0373" w:rsidRDefault="007B037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15E7257"/>
    <w:multiLevelType w:val="hybridMultilevel"/>
    <w:tmpl w:val="62248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 w15:restartNumberingAfterBreak="0">
    <w:nsid w:val="1C37292C"/>
    <w:multiLevelType w:val="hybridMultilevel"/>
    <w:tmpl w:val="7A00B1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FE4DCE"/>
    <w:multiLevelType w:val="hybridMultilevel"/>
    <w:tmpl w:val="F19A5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4B189F"/>
    <w:multiLevelType w:val="hybridMultilevel"/>
    <w:tmpl w:val="9D1A8A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DE2263"/>
    <w:multiLevelType w:val="hybridMultilevel"/>
    <w:tmpl w:val="7EA2A824"/>
    <w:lvl w:ilvl="0" w:tplc="E36062A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3"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3C9725B"/>
    <w:multiLevelType w:val="hybridMultilevel"/>
    <w:tmpl w:val="B4AA5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6E352B"/>
    <w:multiLevelType w:val="hybridMultilevel"/>
    <w:tmpl w:val="FD44E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244DA3"/>
    <w:multiLevelType w:val="hybridMultilevel"/>
    <w:tmpl w:val="5F663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6E3075"/>
    <w:multiLevelType w:val="hybridMultilevel"/>
    <w:tmpl w:val="F20C37BA"/>
    <w:lvl w:ilvl="0" w:tplc="BFF24D40">
      <w:numFmt w:val="bullet"/>
      <w:lvlText w:val="-"/>
      <w:lvlJc w:val="left"/>
      <w:pPr>
        <w:ind w:left="720" w:hanging="360"/>
      </w:pPr>
      <w:rPr>
        <w:rFonts w:ascii="Calibri" w:eastAsia="Times New Roman" w:hAnsi="Calibri"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8D042B0"/>
    <w:multiLevelType w:val="hybridMultilevel"/>
    <w:tmpl w:val="A2F2C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5"/>
  </w:num>
  <w:num w:numId="3">
    <w:abstractNumId w:val="23"/>
  </w:num>
  <w:num w:numId="4">
    <w:abstractNumId w:val="21"/>
  </w:num>
  <w:num w:numId="5">
    <w:abstractNumId w:val="21"/>
  </w:num>
  <w:num w:numId="6">
    <w:abstractNumId w:val="2"/>
  </w:num>
  <w:num w:numId="7">
    <w:abstractNumId w:val="26"/>
  </w:num>
  <w:num w:numId="8">
    <w:abstractNumId w:val="22"/>
  </w:num>
  <w:num w:numId="9">
    <w:abstractNumId w:val="13"/>
  </w:num>
  <w:num w:numId="10">
    <w:abstractNumId w:val="6"/>
  </w:num>
  <w:num w:numId="11">
    <w:abstractNumId w:val="27"/>
  </w:num>
  <w:num w:numId="12">
    <w:abstractNumId w:val="20"/>
  </w:num>
  <w:num w:numId="13">
    <w:abstractNumId w:val="12"/>
  </w:num>
  <w:num w:numId="14">
    <w:abstractNumId w:val="39"/>
  </w:num>
  <w:num w:numId="15">
    <w:abstractNumId w:val="9"/>
  </w:num>
  <w:num w:numId="16">
    <w:abstractNumId w:val="14"/>
  </w:num>
  <w:num w:numId="17">
    <w:abstractNumId w:val="5"/>
  </w:num>
  <w:num w:numId="18">
    <w:abstractNumId w:val="0"/>
  </w:num>
  <w:num w:numId="19">
    <w:abstractNumId w:val="38"/>
  </w:num>
  <w:num w:numId="20">
    <w:abstractNumId w:val="4"/>
  </w:num>
  <w:num w:numId="21">
    <w:abstractNumId w:val="31"/>
  </w:num>
  <w:num w:numId="22">
    <w:abstractNumId w:val="32"/>
  </w:num>
  <w:num w:numId="23">
    <w:abstractNumId w:val="40"/>
  </w:num>
  <w:num w:numId="24">
    <w:abstractNumId w:val="37"/>
  </w:num>
  <w:num w:numId="25">
    <w:abstractNumId w:val="15"/>
  </w:num>
  <w:num w:numId="26">
    <w:abstractNumId w:val="19"/>
  </w:num>
  <w:num w:numId="27">
    <w:abstractNumId w:val="33"/>
  </w:num>
  <w:num w:numId="28">
    <w:abstractNumId w:val="17"/>
  </w:num>
  <w:num w:numId="29">
    <w:abstractNumId w:val="8"/>
  </w:num>
  <w:num w:numId="30">
    <w:abstractNumId w:val="1"/>
  </w:num>
  <w:num w:numId="31">
    <w:abstractNumId w:val="41"/>
  </w:num>
  <w:num w:numId="32">
    <w:abstractNumId w:val="30"/>
  </w:num>
  <w:num w:numId="33">
    <w:abstractNumId w:val="35"/>
  </w:num>
  <w:num w:numId="34">
    <w:abstractNumId w:val="11"/>
  </w:num>
  <w:num w:numId="35">
    <w:abstractNumId w:val="16"/>
  </w:num>
  <w:num w:numId="36">
    <w:abstractNumId w:val="7"/>
  </w:num>
  <w:num w:numId="37">
    <w:abstractNumId w:val="10"/>
  </w:num>
  <w:num w:numId="38">
    <w:abstractNumId w:val="28"/>
  </w:num>
  <w:num w:numId="39">
    <w:abstractNumId w:val="18"/>
  </w:num>
  <w:num w:numId="40">
    <w:abstractNumId w:val="3"/>
  </w:num>
  <w:num w:numId="41">
    <w:abstractNumId w:val="24"/>
  </w:num>
  <w:num w:numId="42">
    <w:abstractNumId w:val="29"/>
  </w:num>
  <w:num w:numId="43">
    <w:abstractNumId w:val="36"/>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902"/>
    <w:rsid w:val="0001002B"/>
    <w:rsid w:val="00010806"/>
    <w:rsid w:val="00010C5A"/>
    <w:rsid w:val="00013F71"/>
    <w:rsid w:val="00017021"/>
    <w:rsid w:val="000173BF"/>
    <w:rsid w:val="000217B3"/>
    <w:rsid w:val="00024252"/>
    <w:rsid w:val="000245B5"/>
    <w:rsid w:val="00027183"/>
    <w:rsid w:val="00033EA1"/>
    <w:rsid w:val="0003746D"/>
    <w:rsid w:val="0004020F"/>
    <w:rsid w:val="000436CB"/>
    <w:rsid w:val="00051286"/>
    <w:rsid w:val="00052E17"/>
    <w:rsid w:val="00056947"/>
    <w:rsid w:val="00061A8E"/>
    <w:rsid w:val="00064CB3"/>
    <w:rsid w:val="00070BEE"/>
    <w:rsid w:val="00072040"/>
    <w:rsid w:val="00073C58"/>
    <w:rsid w:val="00076DF4"/>
    <w:rsid w:val="00076F51"/>
    <w:rsid w:val="000840E9"/>
    <w:rsid w:val="0008524C"/>
    <w:rsid w:val="00086F7F"/>
    <w:rsid w:val="0009074D"/>
    <w:rsid w:val="0009592B"/>
    <w:rsid w:val="000968C6"/>
    <w:rsid w:val="000A63C9"/>
    <w:rsid w:val="000B3765"/>
    <w:rsid w:val="000B655B"/>
    <w:rsid w:val="000C0000"/>
    <w:rsid w:val="000C18CC"/>
    <w:rsid w:val="000C687D"/>
    <w:rsid w:val="000C7ED1"/>
    <w:rsid w:val="000D079E"/>
    <w:rsid w:val="000D789A"/>
    <w:rsid w:val="000E014C"/>
    <w:rsid w:val="000E4B5F"/>
    <w:rsid w:val="000E706D"/>
    <w:rsid w:val="000F130A"/>
    <w:rsid w:val="000F4FD8"/>
    <w:rsid w:val="00107242"/>
    <w:rsid w:val="00111CC5"/>
    <w:rsid w:val="001206F7"/>
    <w:rsid w:val="001236C1"/>
    <w:rsid w:val="00133EE8"/>
    <w:rsid w:val="00140B30"/>
    <w:rsid w:val="00147155"/>
    <w:rsid w:val="00153CB3"/>
    <w:rsid w:val="00154C3B"/>
    <w:rsid w:val="00154E3F"/>
    <w:rsid w:val="00160158"/>
    <w:rsid w:val="00165357"/>
    <w:rsid w:val="001722B7"/>
    <w:rsid w:val="001727D9"/>
    <w:rsid w:val="00174BB4"/>
    <w:rsid w:val="00175D14"/>
    <w:rsid w:val="001811EE"/>
    <w:rsid w:val="00185AD4"/>
    <w:rsid w:val="001874B4"/>
    <w:rsid w:val="001979AF"/>
    <w:rsid w:val="001A0EB4"/>
    <w:rsid w:val="001A1A86"/>
    <w:rsid w:val="001A5F62"/>
    <w:rsid w:val="001B015E"/>
    <w:rsid w:val="001B2301"/>
    <w:rsid w:val="001B618B"/>
    <w:rsid w:val="001C1338"/>
    <w:rsid w:val="001C387E"/>
    <w:rsid w:val="001C4140"/>
    <w:rsid w:val="001C5A94"/>
    <w:rsid w:val="001D2317"/>
    <w:rsid w:val="001D3223"/>
    <w:rsid w:val="001D33EF"/>
    <w:rsid w:val="001D5AB3"/>
    <w:rsid w:val="001E0519"/>
    <w:rsid w:val="001E0829"/>
    <w:rsid w:val="001E1320"/>
    <w:rsid w:val="001E556A"/>
    <w:rsid w:val="001F05CE"/>
    <w:rsid w:val="001F1905"/>
    <w:rsid w:val="001F4A65"/>
    <w:rsid w:val="00205C45"/>
    <w:rsid w:val="0021035B"/>
    <w:rsid w:val="00211153"/>
    <w:rsid w:val="0021312B"/>
    <w:rsid w:val="0022255E"/>
    <w:rsid w:val="0023254A"/>
    <w:rsid w:val="002344FB"/>
    <w:rsid w:val="00236148"/>
    <w:rsid w:val="00236216"/>
    <w:rsid w:val="002405CD"/>
    <w:rsid w:val="00240B74"/>
    <w:rsid w:val="00242856"/>
    <w:rsid w:val="00243B62"/>
    <w:rsid w:val="0024675B"/>
    <w:rsid w:val="002469DD"/>
    <w:rsid w:val="00247180"/>
    <w:rsid w:val="00254671"/>
    <w:rsid w:val="00257D36"/>
    <w:rsid w:val="00263C1C"/>
    <w:rsid w:val="00271415"/>
    <w:rsid w:val="00274FBE"/>
    <w:rsid w:val="002762E1"/>
    <w:rsid w:val="002811BC"/>
    <w:rsid w:val="00283DE8"/>
    <w:rsid w:val="00285552"/>
    <w:rsid w:val="00285966"/>
    <w:rsid w:val="00285A0D"/>
    <w:rsid w:val="00290ED8"/>
    <w:rsid w:val="00296B49"/>
    <w:rsid w:val="002A03FC"/>
    <w:rsid w:val="002A1843"/>
    <w:rsid w:val="002A3D26"/>
    <w:rsid w:val="002A523E"/>
    <w:rsid w:val="002B1ADF"/>
    <w:rsid w:val="002B2F2E"/>
    <w:rsid w:val="002B502E"/>
    <w:rsid w:val="002B657B"/>
    <w:rsid w:val="002C2853"/>
    <w:rsid w:val="002C444C"/>
    <w:rsid w:val="002C458F"/>
    <w:rsid w:val="002C6C20"/>
    <w:rsid w:val="002C6C7A"/>
    <w:rsid w:val="002C7F78"/>
    <w:rsid w:val="002D5277"/>
    <w:rsid w:val="002D71FA"/>
    <w:rsid w:val="002D73AF"/>
    <w:rsid w:val="002E4FD9"/>
    <w:rsid w:val="002E5B58"/>
    <w:rsid w:val="002F1437"/>
    <w:rsid w:val="002F198C"/>
    <w:rsid w:val="002F3943"/>
    <w:rsid w:val="002F4E34"/>
    <w:rsid w:val="002F6A42"/>
    <w:rsid w:val="002F79E7"/>
    <w:rsid w:val="003003EC"/>
    <w:rsid w:val="003035E3"/>
    <w:rsid w:val="0030363A"/>
    <w:rsid w:val="00317970"/>
    <w:rsid w:val="00317EB0"/>
    <w:rsid w:val="00332700"/>
    <w:rsid w:val="003358BD"/>
    <w:rsid w:val="00344E88"/>
    <w:rsid w:val="00345D80"/>
    <w:rsid w:val="003471D4"/>
    <w:rsid w:val="00350BF1"/>
    <w:rsid w:val="00353C49"/>
    <w:rsid w:val="003540B1"/>
    <w:rsid w:val="003557E9"/>
    <w:rsid w:val="00355E28"/>
    <w:rsid w:val="003560BA"/>
    <w:rsid w:val="00364CC6"/>
    <w:rsid w:val="003650F6"/>
    <w:rsid w:val="0036726C"/>
    <w:rsid w:val="00373F36"/>
    <w:rsid w:val="003832D2"/>
    <w:rsid w:val="003845E5"/>
    <w:rsid w:val="00393137"/>
    <w:rsid w:val="0039615F"/>
    <w:rsid w:val="00396726"/>
    <w:rsid w:val="00397406"/>
    <w:rsid w:val="003A3170"/>
    <w:rsid w:val="003A360E"/>
    <w:rsid w:val="003C27E6"/>
    <w:rsid w:val="003D17FF"/>
    <w:rsid w:val="003D2871"/>
    <w:rsid w:val="003D2981"/>
    <w:rsid w:val="003D5B83"/>
    <w:rsid w:val="003E6E47"/>
    <w:rsid w:val="003F0623"/>
    <w:rsid w:val="003F33DE"/>
    <w:rsid w:val="003F3A41"/>
    <w:rsid w:val="003F67E9"/>
    <w:rsid w:val="00401031"/>
    <w:rsid w:val="004023B7"/>
    <w:rsid w:val="004045A0"/>
    <w:rsid w:val="00413CDB"/>
    <w:rsid w:val="00416E34"/>
    <w:rsid w:val="004200FE"/>
    <w:rsid w:val="00421183"/>
    <w:rsid w:val="00421BA6"/>
    <w:rsid w:val="00421C17"/>
    <w:rsid w:val="00426CDE"/>
    <w:rsid w:val="00433EA1"/>
    <w:rsid w:val="00437B89"/>
    <w:rsid w:val="00440F95"/>
    <w:rsid w:val="00441957"/>
    <w:rsid w:val="00443D32"/>
    <w:rsid w:val="004469DD"/>
    <w:rsid w:val="004476B2"/>
    <w:rsid w:val="00447CE5"/>
    <w:rsid w:val="00447D6E"/>
    <w:rsid w:val="0045048F"/>
    <w:rsid w:val="0045181B"/>
    <w:rsid w:val="00452133"/>
    <w:rsid w:val="00452C7A"/>
    <w:rsid w:val="00456B53"/>
    <w:rsid w:val="0046286E"/>
    <w:rsid w:val="004673A2"/>
    <w:rsid w:val="00471234"/>
    <w:rsid w:val="00472250"/>
    <w:rsid w:val="0047437C"/>
    <w:rsid w:val="00477522"/>
    <w:rsid w:val="00480E7B"/>
    <w:rsid w:val="004843E5"/>
    <w:rsid w:val="00484BF6"/>
    <w:rsid w:val="0049052C"/>
    <w:rsid w:val="00493457"/>
    <w:rsid w:val="00494628"/>
    <w:rsid w:val="0049566B"/>
    <w:rsid w:val="00497338"/>
    <w:rsid w:val="004A1650"/>
    <w:rsid w:val="004B1184"/>
    <w:rsid w:val="004B4A3A"/>
    <w:rsid w:val="004B5CE5"/>
    <w:rsid w:val="004B750E"/>
    <w:rsid w:val="004C2244"/>
    <w:rsid w:val="004C23F1"/>
    <w:rsid w:val="004D069A"/>
    <w:rsid w:val="004E01F5"/>
    <w:rsid w:val="004E297E"/>
    <w:rsid w:val="004E76CA"/>
    <w:rsid w:val="004F1698"/>
    <w:rsid w:val="004F53E8"/>
    <w:rsid w:val="00500C4E"/>
    <w:rsid w:val="00505CEC"/>
    <w:rsid w:val="0051020F"/>
    <w:rsid w:val="005139A1"/>
    <w:rsid w:val="00513CAB"/>
    <w:rsid w:val="00516CF5"/>
    <w:rsid w:val="00523597"/>
    <w:rsid w:val="00523736"/>
    <w:rsid w:val="00525D9F"/>
    <w:rsid w:val="00532530"/>
    <w:rsid w:val="00535CA4"/>
    <w:rsid w:val="005476F6"/>
    <w:rsid w:val="00551D72"/>
    <w:rsid w:val="005540B6"/>
    <w:rsid w:val="005552C3"/>
    <w:rsid w:val="00560934"/>
    <w:rsid w:val="00563E58"/>
    <w:rsid w:val="00564960"/>
    <w:rsid w:val="00570654"/>
    <w:rsid w:val="00570F38"/>
    <w:rsid w:val="005720F2"/>
    <w:rsid w:val="005729C8"/>
    <w:rsid w:val="00572D2F"/>
    <w:rsid w:val="005734A4"/>
    <w:rsid w:val="00594EF5"/>
    <w:rsid w:val="005A02D4"/>
    <w:rsid w:val="005A0E53"/>
    <w:rsid w:val="005A1078"/>
    <w:rsid w:val="005A4658"/>
    <w:rsid w:val="005A496B"/>
    <w:rsid w:val="005B28C1"/>
    <w:rsid w:val="005B6344"/>
    <w:rsid w:val="005C1C74"/>
    <w:rsid w:val="005C2E48"/>
    <w:rsid w:val="005C3F23"/>
    <w:rsid w:val="005C4DA7"/>
    <w:rsid w:val="005D4DD7"/>
    <w:rsid w:val="005E12A9"/>
    <w:rsid w:val="005F139E"/>
    <w:rsid w:val="005F69D5"/>
    <w:rsid w:val="00602799"/>
    <w:rsid w:val="00602F18"/>
    <w:rsid w:val="00607C30"/>
    <w:rsid w:val="006110F3"/>
    <w:rsid w:val="00612041"/>
    <w:rsid w:val="00614AFF"/>
    <w:rsid w:val="00621ABA"/>
    <w:rsid w:val="0062322A"/>
    <w:rsid w:val="00631157"/>
    <w:rsid w:val="006404E6"/>
    <w:rsid w:val="0064680F"/>
    <w:rsid w:val="0064729D"/>
    <w:rsid w:val="00647ABE"/>
    <w:rsid w:val="006516BA"/>
    <w:rsid w:val="00664B05"/>
    <w:rsid w:val="00665C04"/>
    <w:rsid w:val="0066682D"/>
    <w:rsid w:val="006746FE"/>
    <w:rsid w:val="00676E9F"/>
    <w:rsid w:val="00680934"/>
    <w:rsid w:val="00685D5C"/>
    <w:rsid w:val="0068680A"/>
    <w:rsid w:val="0069264D"/>
    <w:rsid w:val="0069578B"/>
    <w:rsid w:val="00697868"/>
    <w:rsid w:val="006A055F"/>
    <w:rsid w:val="006A126F"/>
    <w:rsid w:val="006A14E9"/>
    <w:rsid w:val="006A19C8"/>
    <w:rsid w:val="006A2A65"/>
    <w:rsid w:val="006A5293"/>
    <w:rsid w:val="006A67E4"/>
    <w:rsid w:val="006A6D15"/>
    <w:rsid w:val="006B0DF3"/>
    <w:rsid w:val="006B0F11"/>
    <w:rsid w:val="006B27FA"/>
    <w:rsid w:val="006B4A48"/>
    <w:rsid w:val="006C2C55"/>
    <w:rsid w:val="006C430A"/>
    <w:rsid w:val="006D2809"/>
    <w:rsid w:val="006D7C02"/>
    <w:rsid w:val="006E27A3"/>
    <w:rsid w:val="006E2D29"/>
    <w:rsid w:val="006E3342"/>
    <w:rsid w:val="006E4B12"/>
    <w:rsid w:val="006E65D0"/>
    <w:rsid w:val="006F1B21"/>
    <w:rsid w:val="006F21E8"/>
    <w:rsid w:val="006F78D5"/>
    <w:rsid w:val="0070091B"/>
    <w:rsid w:val="007048AC"/>
    <w:rsid w:val="00717CE9"/>
    <w:rsid w:val="00726338"/>
    <w:rsid w:val="00726AD5"/>
    <w:rsid w:val="00733C7D"/>
    <w:rsid w:val="00740761"/>
    <w:rsid w:val="00742945"/>
    <w:rsid w:val="00745F77"/>
    <w:rsid w:val="007464DE"/>
    <w:rsid w:val="007529EA"/>
    <w:rsid w:val="00755A45"/>
    <w:rsid w:val="00760CDC"/>
    <w:rsid w:val="00764D0D"/>
    <w:rsid w:val="00777C53"/>
    <w:rsid w:val="00786E92"/>
    <w:rsid w:val="007933F1"/>
    <w:rsid w:val="007A5F52"/>
    <w:rsid w:val="007B0373"/>
    <w:rsid w:val="007B090A"/>
    <w:rsid w:val="007C2307"/>
    <w:rsid w:val="007C5DA7"/>
    <w:rsid w:val="007E43F8"/>
    <w:rsid w:val="007E5076"/>
    <w:rsid w:val="007E656B"/>
    <w:rsid w:val="007F2997"/>
    <w:rsid w:val="007F3C2D"/>
    <w:rsid w:val="007F50E8"/>
    <w:rsid w:val="007F54E2"/>
    <w:rsid w:val="007F7FBA"/>
    <w:rsid w:val="00800319"/>
    <w:rsid w:val="0080044E"/>
    <w:rsid w:val="00800706"/>
    <w:rsid w:val="0080189A"/>
    <w:rsid w:val="00801F7F"/>
    <w:rsid w:val="00803C2B"/>
    <w:rsid w:val="00811945"/>
    <w:rsid w:val="00812CAD"/>
    <w:rsid w:val="00824F1C"/>
    <w:rsid w:val="00826688"/>
    <w:rsid w:val="0083369B"/>
    <w:rsid w:val="00835D38"/>
    <w:rsid w:val="00843763"/>
    <w:rsid w:val="00847A4E"/>
    <w:rsid w:val="008675CE"/>
    <w:rsid w:val="00871D79"/>
    <w:rsid w:val="0087393E"/>
    <w:rsid w:val="00881A42"/>
    <w:rsid w:val="00882386"/>
    <w:rsid w:val="0088361D"/>
    <w:rsid w:val="00885E0A"/>
    <w:rsid w:val="0088603B"/>
    <w:rsid w:val="008877AF"/>
    <w:rsid w:val="00893FC3"/>
    <w:rsid w:val="0089577B"/>
    <w:rsid w:val="008B1024"/>
    <w:rsid w:val="008B1357"/>
    <w:rsid w:val="008B2DF3"/>
    <w:rsid w:val="008C149D"/>
    <w:rsid w:val="008C2E0E"/>
    <w:rsid w:val="008C4DE0"/>
    <w:rsid w:val="008C5FE5"/>
    <w:rsid w:val="008D3930"/>
    <w:rsid w:val="008D67F9"/>
    <w:rsid w:val="008E17CC"/>
    <w:rsid w:val="008E25B1"/>
    <w:rsid w:val="008E56FB"/>
    <w:rsid w:val="008F14E9"/>
    <w:rsid w:val="008F2167"/>
    <w:rsid w:val="008F33B4"/>
    <w:rsid w:val="008F6298"/>
    <w:rsid w:val="0090077A"/>
    <w:rsid w:val="00900F47"/>
    <w:rsid w:val="00904ADA"/>
    <w:rsid w:val="00907697"/>
    <w:rsid w:val="00910A69"/>
    <w:rsid w:val="009138A0"/>
    <w:rsid w:val="0091424C"/>
    <w:rsid w:val="00917DE4"/>
    <w:rsid w:val="00920905"/>
    <w:rsid w:val="00922B85"/>
    <w:rsid w:val="00930CDC"/>
    <w:rsid w:val="00931E45"/>
    <w:rsid w:val="00933188"/>
    <w:rsid w:val="00935AF9"/>
    <w:rsid w:val="009403A5"/>
    <w:rsid w:val="00943954"/>
    <w:rsid w:val="00947C69"/>
    <w:rsid w:val="009500DC"/>
    <w:rsid w:val="00951923"/>
    <w:rsid w:val="00972C81"/>
    <w:rsid w:val="009824E9"/>
    <w:rsid w:val="009826E5"/>
    <w:rsid w:val="009844A1"/>
    <w:rsid w:val="00986E20"/>
    <w:rsid w:val="00995479"/>
    <w:rsid w:val="00995CB0"/>
    <w:rsid w:val="00997E77"/>
    <w:rsid w:val="009A2332"/>
    <w:rsid w:val="009A2734"/>
    <w:rsid w:val="009A70A9"/>
    <w:rsid w:val="009B2A02"/>
    <w:rsid w:val="009B2B61"/>
    <w:rsid w:val="009B5B7B"/>
    <w:rsid w:val="009C1777"/>
    <w:rsid w:val="009C2C86"/>
    <w:rsid w:val="009C6FE0"/>
    <w:rsid w:val="009D0753"/>
    <w:rsid w:val="009D10A4"/>
    <w:rsid w:val="009D5131"/>
    <w:rsid w:val="009D577C"/>
    <w:rsid w:val="009D6F71"/>
    <w:rsid w:val="009E1802"/>
    <w:rsid w:val="009E1CDE"/>
    <w:rsid w:val="009E2B06"/>
    <w:rsid w:val="009E3829"/>
    <w:rsid w:val="009E51E2"/>
    <w:rsid w:val="009F7A61"/>
    <w:rsid w:val="00A11800"/>
    <w:rsid w:val="00A11C16"/>
    <w:rsid w:val="00A1423E"/>
    <w:rsid w:val="00A17664"/>
    <w:rsid w:val="00A20520"/>
    <w:rsid w:val="00A20FAF"/>
    <w:rsid w:val="00A24520"/>
    <w:rsid w:val="00A3164A"/>
    <w:rsid w:val="00A37F42"/>
    <w:rsid w:val="00A4411F"/>
    <w:rsid w:val="00A500D6"/>
    <w:rsid w:val="00A523FF"/>
    <w:rsid w:val="00A54756"/>
    <w:rsid w:val="00A54C66"/>
    <w:rsid w:val="00A57D36"/>
    <w:rsid w:val="00A61BB6"/>
    <w:rsid w:val="00A65734"/>
    <w:rsid w:val="00A6687F"/>
    <w:rsid w:val="00A67907"/>
    <w:rsid w:val="00A73CC1"/>
    <w:rsid w:val="00A77C6B"/>
    <w:rsid w:val="00A80270"/>
    <w:rsid w:val="00A82DB1"/>
    <w:rsid w:val="00A84127"/>
    <w:rsid w:val="00A84BF9"/>
    <w:rsid w:val="00A86DA2"/>
    <w:rsid w:val="00A90DFC"/>
    <w:rsid w:val="00A90F1A"/>
    <w:rsid w:val="00A91BF3"/>
    <w:rsid w:val="00AA0A9C"/>
    <w:rsid w:val="00AA16C0"/>
    <w:rsid w:val="00AA4CDC"/>
    <w:rsid w:val="00AB21D4"/>
    <w:rsid w:val="00AB21F5"/>
    <w:rsid w:val="00AB3386"/>
    <w:rsid w:val="00AB36DB"/>
    <w:rsid w:val="00AC0B1D"/>
    <w:rsid w:val="00AC2F5B"/>
    <w:rsid w:val="00AC3DAD"/>
    <w:rsid w:val="00AC5309"/>
    <w:rsid w:val="00AC5B97"/>
    <w:rsid w:val="00AD4DD0"/>
    <w:rsid w:val="00AD5066"/>
    <w:rsid w:val="00AE0A8D"/>
    <w:rsid w:val="00AF6342"/>
    <w:rsid w:val="00B053FB"/>
    <w:rsid w:val="00B05647"/>
    <w:rsid w:val="00B07EE5"/>
    <w:rsid w:val="00B149A3"/>
    <w:rsid w:val="00B21CC5"/>
    <w:rsid w:val="00B22911"/>
    <w:rsid w:val="00B26778"/>
    <w:rsid w:val="00B26B83"/>
    <w:rsid w:val="00B32479"/>
    <w:rsid w:val="00B33FE2"/>
    <w:rsid w:val="00B403ED"/>
    <w:rsid w:val="00B4065F"/>
    <w:rsid w:val="00B45091"/>
    <w:rsid w:val="00B45447"/>
    <w:rsid w:val="00B5181B"/>
    <w:rsid w:val="00B5282C"/>
    <w:rsid w:val="00B55AB0"/>
    <w:rsid w:val="00B614F1"/>
    <w:rsid w:val="00B72188"/>
    <w:rsid w:val="00B77D15"/>
    <w:rsid w:val="00B840D4"/>
    <w:rsid w:val="00B866B4"/>
    <w:rsid w:val="00B94226"/>
    <w:rsid w:val="00BA0A8C"/>
    <w:rsid w:val="00BA0CEB"/>
    <w:rsid w:val="00BA2383"/>
    <w:rsid w:val="00BA2E7E"/>
    <w:rsid w:val="00BA3841"/>
    <w:rsid w:val="00BA590A"/>
    <w:rsid w:val="00BA5FE4"/>
    <w:rsid w:val="00BB0B39"/>
    <w:rsid w:val="00BB30D1"/>
    <w:rsid w:val="00BB39D8"/>
    <w:rsid w:val="00BB5F75"/>
    <w:rsid w:val="00BC6524"/>
    <w:rsid w:val="00BD3931"/>
    <w:rsid w:val="00BD5B88"/>
    <w:rsid w:val="00BD5F58"/>
    <w:rsid w:val="00BE0AEB"/>
    <w:rsid w:val="00C018E0"/>
    <w:rsid w:val="00C04671"/>
    <w:rsid w:val="00C05AAF"/>
    <w:rsid w:val="00C118C7"/>
    <w:rsid w:val="00C20877"/>
    <w:rsid w:val="00C20E7B"/>
    <w:rsid w:val="00C21456"/>
    <w:rsid w:val="00C23445"/>
    <w:rsid w:val="00C24D03"/>
    <w:rsid w:val="00C25E61"/>
    <w:rsid w:val="00C35A1B"/>
    <w:rsid w:val="00C413F3"/>
    <w:rsid w:val="00C54EFF"/>
    <w:rsid w:val="00C55D03"/>
    <w:rsid w:val="00C63548"/>
    <w:rsid w:val="00C63F96"/>
    <w:rsid w:val="00C65450"/>
    <w:rsid w:val="00C677AF"/>
    <w:rsid w:val="00C67E59"/>
    <w:rsid w:val="00C72B8B"/>
    <w:rsid w:val="00C72CB5"/>
    <w:rsid w:val="00C76D4F"/>
    <w:rsid w:val="00C805BC"/>
    <w:rsid w:val="00C83531"/>
    <w:rsid w:val="00C959CA"/>
    <w:rsid w:val="00C95D16"/>
    <w:rsid w:val="00CA2AB4"/>
    <w:rsid w:val="00CB0100"/>
    <w:rsid w:val="00CB04D2"/>
    <w:rsid w:val="00CD7EFE"/>
    <w:rsid w:val="00CE0C66"/>
    <w:rsid w:val="00CE28CF"/>
    <w:rsid w:val="00CE4386"/>
    <w:rsid w:val="00CE4CDC"/>
    <w:rsid w:val="00CE5BEB"/>
    <w:rsid w:val="00CE66DB"/>
    <w:rsid w:val="00CE69E9"/>
    <w:rsid w:val="00CE71F2"/>
    <w:rsid w:val="00CF3F65"/>
    <w:rsid w:val="00CF464D"/>
    <w:rsid w:val="00D00526"/>
    <w:rsid w:val="00D17EF4"/>
    <w:rsid w:val="00D23770"/>
    <w:rsid w:val="00D25074"/>
    <w:rsid w:val="00D34517"/>
    <w:rsid w:val="00D36798"/>
    <w:rsid w:val="00D43338"/>
    <w:rsid w:val="00D47E80"/>
    <w:rsid w:val="00D70563"/>
    <w:rsid w:val="00D70D89"/>
    <w:rsid w:val="00D72051"/>
    <w:rsid w:val="00D7380B"/>
    <w:rsid w:val="00D75D77"/>
    <w:rsid w:val="00D7639E"/>
    <w:rsid w:val="00D835EF"/>
    <w:rsid w:val="00D85F09"/>
    <w:rsid w:val="00D86A9D"/>
    <w:rsid w:val="00DA089A"/>
    <w:rsid w:val="00DA11A0"/>
    <w:rsid w:val="00DA2822"/>
    <w:rsid w:val="00DA690B"/>
    <w:rsid w:val="00DA7225"/>
    <w:rsid w:val="00DB44E9"/>
    <w:rsid w:val="00DC1966"/>
    <w:rsid w:val="00DC3259"/>
    <w:rsid w:val="00DD0523"/>
    <w:rsid w:val="00DD38D2"/>
    <w:rsid w:val="00DD5FEF"/>
    <w:rsid w:val="00DE5758"/>
    <w:rsid w:val="00DE5FCF"/>
    <w:rsid w:val="00DF0D19"/>
    <w:rsid w:val="00DF2EE9"/>
    <w:rsid w:val="00DF4113"/>
    <w:rsid w:val="00DF6FD8"/>
    <w:rsid w:val="00E05A80"/>
    <w:rsid w:val="00E06A37"/>
    <w:rsid w:val="00E071A5"/>
    <w:rsid w:val="00E07752"/>
    <w:rsid w:val="00E16609"/>
    <w:rsid w:val="00E16F08"/>
    <w:rsid w:val="00E233F3"/>
    <w:rsid w:val="00E26B34"/>
    <w:rsid w:val="00E314BA"/>
    <w:rsid w:val="00E325BE"/>
    <w:rsid w:val="00E326BA"/>
    <w:rsid w:val="00E34202"/>
    <w:rsid w:val="00E37F72"/>
    <w:rsid w:val="00E40BE5"/>
    <w:rsid w:val="00E40CF9"/>
    <w:rsid w:val="00E413BB"/>
    <w:rsid w:val="00E42A30"/>
    <w:rsid w:val="00E5625D"/>
    <w:rsid w:val="00E648BB"/>
    <w:rsid w:val="00E67ACA"/>
    <w:rsid w:val="00E76B31"/>
    <w:rsid w:val="00E81F3E"/>
    <w:rsid w:val="00E844BB"/>
    <w:rsid w:val="00E84C48"/>
    <w:rsid w:val="00E859BD"/>
    <w:rsid w:val="00E86B70"/>
    <w:rsid w:val="00E87C8F"/>
    <w:rsid w:val="00E924C3"/>
    <w:rsid w:val="00E954EE"/>
    <w:rsid w:val="00E96759"/>
    <w:rsid w:val="00EA4437"/>
    <w:rsid w:val="00EA4D87"/>
    <w:rsid w:val="00EB1718"/>
    <w:rsid w:val="00EB34FC"/>
    <w:rsid w:val="00EB76E1"/>
    <w:rsid w:val="00EC2499"/>
    <w:rsid w:val="00EE29DF"/>
    <w:rsid w:val="00EE4120"/>
    <w:rsid w:val="00EF2E8A"/>
    <w:rsid w:val="00EF4E6B"/>
    <w:rsid w:val="00EF5416"/>
    <w:rsid w:val="00EF6CE5"/>
    <w:rsid w:val="00F06CCF"/>
    <w:rsid w:val="00F1053D"/>
    <w:rsid w:val="00F110D5"/>
    <w:rsid w:val="00F11E63"/>
    <w:rsid w:val="00F12733"/>
    <w:rsid w:val="00F171E1"/>
    <w:rsid w:val="00F20DCF"/>
    <w:rsid w:val="00F25B36"/>
    <w:rsid w:val="00F30167"/>
    <w:rsid w:val="00F3052A"/>
    <w:rsid w:val="00F341E3"/>
    <w:rsid w:val="00F35D09"/>
    <w:rsid w:val="00F4304D"/>
    <w:rsid w:val="00F46612"/>
    <w:rsid w:val="00F474EF"/>
    <w:rsid w:val="00F4752B"/>
    <w:rsid w:val="00F476E8"/>
    <w:rsid w:val="00F541AE"/>
    <w:rsid w:val="00F553C0"/>
    <w:rsid w:val="00F56792"/>
    <w:rsid w:val="00F571A6"/>
    <w:rsid w:val="00F6018B"/>
    <w:rsid w:val="00F601BC"/>
    <w:rsid w:val="00F60265"/>
    <w:rsid w:val="00F60E32"/>
    <w:rsid w:val="00F62734"/>
    <w:rsid w:val="00F644FF"/>
    <w:rsid w:val="00F6480D"/>
    <w:rsid w:val="00F65ABA"/>
    <w:rsid w:val="00F65E15"/>
    <w:rsid w:val="00F7242E"/>
    <w:rsid w:val="00F74B33"/>
    <w:rsid w:val="00F810DD"/>
    <w:rsid w:val="00F95E2F"/>
    <w:rsid w:val="00F96DEB"/>
    <w:rsid w:val="00FA1872"/>
    <w:rsid w:val="00FA4F34"/>
    <w:rsid w:val="00FB1640"/>
    <w:rsid w:val="00FB2590"/>
    <w:rsid w:val="00FD49A4"/>
    <w:rsid w:val="00FD5A8C"/>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15:docId w15:val="{31F5FEE9-A998-4EF3-998D-E51E44CF2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Grid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204A7F"/>
    <w:rsid w:val="002B514B"/>
    <w:rsid w:val="002C0C03"/>
    <w:rsid w:val="00311B0D"/>
    <w:rsid w:val="003A131F"/>
    <w:rsid w:val="004817CD"/>
    <w:rsid w:val="00560392"/>
    <w:rsid w:val="006B7FA8"/>
    <w:rsid w:val="0073202E"/>
    <w:rsid w:val="008211B5"/>
    <w:rsid w:val="00874653"/>
    <w:rsid w:val="00A5022A"/>
    <w:rsid w:val="00AE4C28"/>
    <w:rsid w:val="00AF2C4B"/>
    <w:rsid w:val="00B73964"/>
    <w:rsid w:val="00B74704"/>
    <w:rsid w:val="00C947B8"/>
    <w:rsid w:val="00D0496D"/>
    <w:rsid w:val="00D051F5"/>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099728D-CF74-4573-BA27-1E6092F8F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1331</Words>
  <Characters>7587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PGE3PHVC157</vt:lpstr>
    </vt:vector>
  </TitlesOfParts>
  <Company>Southern California Edison</Company>
  <LinksUpToDate>false</LinksUpToDate>
  <CharactersWithSpaces>8901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PGE3PHVC157</dc:title>
  <dc:creator>Jim Wyatt (PG&amp;E);Jason Wang (SCE)</dc:creator>
  <cp:lastModifiedBy>Jesse Manao</cp:lastModifiedBy>
  <cp:revision>9</cp:revision>
  <dcterms:created xsi:type="dcterms:W3CDTF">2018-12-27T17:49:00Z</dcterms:created>
  <dcterms:modified xsi:type="dcterms:W3CDTF">2018-12-31T09:59:00Z</dcterms:modified>
  <cp:contentStatus>Revision 1</cp:contentStatus>
</cp:coreProperties>
</file>